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DC58" w14:textId="77777777" w:rsidR="0064004A" w:rsidRDefault="0064004A" w:rsidP="0064004A">
      <w:pPr>
        <w:pStyle w:val="Header"/>
        <w:spacing w:line="276" w:lineRule="auto"/>
      </w:pPr>
      <w:r>
        <w:rPr>
          <w:noProof/>
        </w:rPr>
        <mc:AlternateContent>
          <mc:Choice Requires="wps">
            <w:drawing>
              <wp:anchor distT="0" distB="0" distL="114300" distR="114300" simplePos="0" relativeHeight="251662336" behindDoc="0" locked="0" layoutInCell="1" allowOverlap="1" wp14:anchorId="3FEAB671" wp14:editId="3C324B67">
                <wp:simplePos x="0" y="0"/>
                <wp:positionH relativeFrom="margin">
                  <wp:align>right</wp:align>
                </wp:positionH>
                <wp:positionV relativeFrom="page">
                  <wp:posOffset>889635</wp:posOffset>
                </wp:positionV>
                <wp:extent cx="2857500" cy="1057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857500" cy="10572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B4B388" w14:textId="77777777" w:rsidR="0064004A" w:rsidRPr="00544CAB" w:rsidRDefault="0064004A" w:rsidP="0064004A">
                            <w:pPr>
                              <w:rPr>
                                <w:rFonts w:ascii="Palatino Linotype" w:hAnsi="Palatino Linotype"/>
                                <w:i/>
                                <w:color w:val="FFFFFF" w:themeColor="background1"/>
                                <w:sz w:val="56"/>
                                <w:szCs w:val="56"/>
                              </w:rPr>
                            </w:pPr>
                            <w:r>
                              <w:rPr>
                                <w:rFonts w:ascii="Palatino Linotype" w:hAnsi="Palatino Linotype"/>
                                <w:i/>
                                <w:color w:val="FFFFFF" w:themeColor="background1"/>
                                <w:sz w:val="56"/>
                                <w:szCs w:val="56"/>
                              </w:rPr>
                              <w:t>Best Practice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B671" id="_x0000_t202" coordsize="21600,21600" o:spt="202" path="m,l,21600r21600,l21600,xe">
                <v:stroke joinstyle="miter"/>
                <v:path gradientshapeok="t" o:connecttype="rect"/>
              </v:shapetype>
              <v:shape id="Text Box 9" o:spid="_x0000_s1026" type="#_x0000_t202" style="position:absolute;margin-left:173.8pt;margin-top:70.05pt;width:225pt;height:83.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" filled="f" stroked="f">
                <v:textbox inset="0,0,0,0">
                  <w:txbxContent>
                    <w:p w14:paraId="24B4B388" w14:textId="77777777" w:rsidR="0064004A" w:rsidRPr="00544CAB" w:rsidRDefault="0064004A" w:rsidP="0064004A">
                      <w:pPr>
                        <w:rPr>
                          <w:rFonts w:ascii="Palatino Linotype" w:hAnsi="Palatino Linotype"/>
                          <w:i/>
                          <w:color w:val="FFFFFF" w:themeColor="background1"/>
                          <w:sz w:val="56"/>
                          <w:szCs w:val="56"/>
                        </w:rPr>
                      </w:pPr>
                      <w:r>
                        <w:rPr>
                          <w:rFonts w:ascii="Palatino Linotype" w:hAnsi="Palatino Linotype"/>
                          <w:i/>
                          <w:color w:val="FFFFFF" w:themeColor="background1"/>
                          <w:sz w:val="56"/>
                          <w:szCs w:val="56"/>
                        </w:rPr>
                        <w:t>Best Practice</w:t>
                      </w:r>
                    </w:p>
                  </w:txbxContent>
                </v:textbox>
                <w10:wrap anchorx="margin" anchory="page"/>
              </v:shape>
            </w:pict>
          </mc:Fallback>
        </mc:AlternateContent>
      </w:r>
      <w:r w:rsidRPr="009F72B9">
        <w:rPr>
          <w:noProof/>
        </w:rPr>
        <w:drawing>
          <wp:inline distT="0" distB="0" distL="0" distR="0" wp14:anchorId="22B9461B" wp14:editId="38C33A2C">
            <wp:extent cx="5943600" cy="1476375"/>
            <wp:effectExtent l="0" t="0" r="0" b="9525"/>
            <wp:docPr id="16" name="NADTC_InfoBrief_Banner_No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InfoBrief_Banner_NoLogos.jp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5943600" cy="1476375"/>
                    </a:xfrm>
                    <a:prstGeom prst="rect">
                      <a:avLst/>
                    </a:prstGeom>
                  </pic:spPr>
                </pic:pic>
              </a:graphicData>
            </a:graphic>
          </wp:inline>
        </w:drawing>
      </w:r>
    </w:p>
    <w:p w14:paraId="22850864" w14:textId="77777777" w:rsidR="0064004A" w:rsidRDefault="0064004A" w:rsidP="0064004A">
      <w:pPr>
        <w:spacing w:after="0"/>
        <w:jc w:val="center"/>
        <w:rPr>
          <w:rFonts w:cstheme="minorHAnsi"/>
          <w:b/>
          <w:sz w:val="32"/>
          <w:szCs w:val="32"/>
        </w:rPr>
      </w:pPr>
    </w:p>
    <w:p w14:paraId="649FB7CC" w14:textId="77777777" w:rsidR="00861D1B" w:rsidRDefault="00F33045" w:rsidP="00A66D87">
      <w:pPr>
        <w:spacing w:after="0"/>
        <w:jc w:val="center"/>
        <w:rPr>
          <w:b/>
          <w:color w:val="1F497D" w:themeColor="text2"/>
          <w:sz w:val="36"/>
          <w:szCs w:val="36"/>
        </w:rPr>
      </w:pPr>
      <w:r>
        <w:rPr>
          <w:b/>
          <w:color w:val="1F497D" w:themeColor="text2"/>
          <w:sz w:val="36"/>
          <w:szCs w:val="36"/>
        </w:rPr>
        <w:t xml:space="preserve">Volunteer </w:t>
      </w:r>
      <w:r w:rsidR="00F94664">
        <w:rPr>
          <w:b/>
          <w:color w:val="1F497D" w:themeColor="text2"/>
          <w:sz w:val="36"/>
          <w:szCs w:val="36"/>
        </w:rPr>
        <w:t>Best Practice</w:t>
      </w:r>
      <w:r w:rsidR="00861D1B">
        <w:rPr>
          <w:b/>
          <w:color w:val="1F497D" w:themeColor="text2"/>
          <w:sz w:val="36"/>
          <w:szCs w:val="36"/>
        </w:rPr>
        <w:t>:</w:t>
      </w:r>
    </w:p>
    <w:p w14:paraId="625A72ED" w14:textId="27F08A63" w:rsidR="00A66D87" w:rsidRDefault="006B5EF8" w:rsidP="006B5EF8">
      <w:pPr>
        <w:spacing w:after="0"/>
        <w:jc w:val="center"/>
        <w:rPr>
          <w:b/>
          <w:sz w:val="24"/>
          <w:szCs w:val="24"/>
        </w:rPr>
      </w:pPr>
      <w:r>
        <w:rPr>
          <w:b/>
          <w:i/>
          <w:color w:val="1F497D" w:themeColor="text2"/>
          <w:sz w:val="36"/>
          <w:szCs w:val="36"/>
        </w:rPr>
        <w:t>D</w:t>
      </w:r>
      <w:r w:rsidRPr="006B5EF8">
        <w:rPr>
          <w:b/>
          <w:i/>
          <w:color w:val="1F497D" w:themeColor="text2"/>
          <w:sz w:val="36"/>
          <w:szCs w:val="36"/>
        </w:rPr>
        <w:t>oor-through-</w:t>
      </w:r>
      <w:r w:rsidR="00705127">
        <w:rPr>
          <w:b/>
          <w:i/>
          <w:color w:val="1F497D" w:themeColor="text2"/>
          <w:sz w:val="36"/>
          <w:szCs w:val="36"/>
        </w:rPr>
        <w:t>D</w:t>
      </w:r>
      <w:r w:rsidRPr="006B5EF8">
        <w:rPr>
          <w:b/>
          <w:i/>
          <w:color w:val="1F497D" w:themeColor="text2"/>
          <w:sz w:val="36"/>
          <w:szCs w:val="36"/>
        </w:rPr>
        <w:t xml:space="preserve">oor </w:t>
      </w:r>
      <w:r>
        <w:rPr>
          <w:b/>
          <w:i/>
          <w:color w:val="1F497D" w:themeColor="text2"/>
          <w:sz w:val="36"/>
          <w:szCs w:val="36"/>
        </w:rPr>
        <w:t>T</w:t>
      </w:r>
      <w:r w:rsidRPr="006B5EF8">
        <w:rPr>
          <w:b/>
          <w:i/>
          <w:color w:val="1F497D" w:themeColor="text2"/>
          <w:sz w:val="36"/>
          <w:szCs w:val="36"/>
        </w:rPr>
        <w:t xml:space="preserve">ransportation </w:t>
      </w:r>
      <w:r>
        <w:rPr>
          <w:b/>
          <w:i/>
          <w:color w:val="1F497D" w:themeColor="text2"/>
          <w:sz w:val="36"/>
          <w:szCs w:val="36"/>
        </w:rPr>
        <w:t>Program</w:t>
      </w:r>
    </w:p>
    <w:p w14:paraId="695CFAC2" w14:textId="77777777" w:rsidR="006B5EF8" w:rsidRDefault="006B5EF8" w:rsidP="00AC4D99">
      <w:pPr>
        <w:spacing w:after="0"/>
        <w:rPr>
          <w:b/>
          <w:sz w:val="24"/>
          <w:szCs w:val="24"/>
        </w:rPr>
      </w:pPr>
    </w:p>
    <w:p w14:paraId="42F7E934" w14:textId="3546091C" w:rsidR="0064004A" w:rsidRPr="004C7C3A" w:rsidRDefault="00BE71B0" w:rsidP="00AC4D99">
      <w:pPr>
        <w:spacing w:after="0"/>
        <w:rPr>
          <w:color w:val="FF0000"/>
          <w:sz w:val="24"/>
          <w:szCs w:val="24"/>
        </w:rPr>
      </w:pPr>
      <w:r w:rsidRPr="007A61E3">
        <w:rPr>
          <w:noProof/>
          <w:sz w:val="24"/>
          <w:szCs w:val="24"/>
        </w:rPr>
        <w:drawing>
          <wp:anchor distT="0" distB="0" distL="114300" distR="114300" simplePos="0" relativeHeight="251660288" behindDoc="1" locked="0" layoutInCell="1" allowOverlap="1" wp14:anchorId="349B84F3" wp14:editId="2CD9BDD7">
            <wp:simplePos x="0" y="0"/>
            <wp:positionH relativeFrom="page">
              <wp:align>right</wp:align>
            </wp:positionH>
            <wp:positionV relativeFrom="paragraph">
              <wp:posOffset>347980</wp:posOffset>
            </wp:positionV>
            <wp:extent cx="2324100" cy="2400300"/>
            <wp:effectExtent l="152400" t="152400" r="361950" b="361950"/>
            <wp:wrapTight wrapText="bothSides">
              <wp:wrapPolygon edited="0">
                <wp:start x="708" y="-1371"/>
                <wp:lineTo x="-1416" y="-1029"/>
                <wp:lineTo x="-1416" y="22286"/>
                <wp:lineTo x="-354" y="23657"/>
                <wp:lineTo x="1593" y="24343"/>
                <wp:lineTo x="1770" y="24686"/>
                <wp:lineTo x="21600" y="24686"/>
                <wp:lineTo x="21777" y="24343"/>
                <wp:lineTo x="23725" y="23657"/>
                <wp:lineTo x="24787" y="21086"/>
                <wp:lineTo x="24787" y="1714"/>
                <wp:lineTo x="22662" y="-857"/>
                <wp:lineTo x="22485" y="-1371"/>
                <wp:lineTo x="708" y="-137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24100" cy="24003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73AE" w:rsidRPr="007A61E3">
        <w:rPr>
          <w:noProof/>
          <w:sz w:val="24"/>
          <w:szCs w:val="24"/>
        </w:rPr>
        <w:t>Launched in 2013,</w:t>
      </w:r>
      <w:r w:rsidR="006E73AE">
        <w:rPr>
          <w:b/>
          <w:noProof/>
          <w:sz w:val="24"/>
          <w:szCs w:val="24"/>
        </w:rPr>
        <w:t xml:space="preserve"> </w:t>
      </w:r>
      <w:hyperlink r:id="rId11" w:history="1">
        <w:r w:rsidR="006E73AE" w:rsidRPr="005D51DE">
          <w:rPr>
            <w:rStyle w:val="Hyperlink"/>
            <w:b/>
            <w:noProof/>
            <w:color w:val="1F497D" w:themeColor="text2"/>
            <w:sz w:val="24"/>
            <w:szCs w:val="24"/>
          </w:rPr>
          <w:t>Senior Miles</w:t>
        </w:r>
      </w:hyperlink>
      <w:r w:rsidR="006E73AE" w:rsidRPr="007569BC">
        <w:rPr>
          <w:noProof/>
          <w:sz w:val="24"/>
          <w:szCs w:val="24"/>
        </w:rPr>
        <w:t xml:space="preserve"> (S</w:t>
      </w:r>
      <w:r w:rsidR="006E73AE">
        <w:rPr>
          <w:noProof/>
          <w:sz w:val="24"/>
          <w:szCs w:val="24"/>
        </w:rPr>
        <w:t>Miles) transportation program was developed by the Blount County Office on Aging, with the help of community leaders</w:t>
      </w:r>
      <w:r w:rsidR="009531E4">
        <w:rPr>
          <w:noProof/>
          <w:sz w:val="24"/>
          <w:szCs w:val="24"/>
        </w:rPr>
        <w:t xml:space="preserve"> committed to solving senior transporation issues</w:t>
      </w:r>
      <w:r w:rsidR="006E73AE">
        <w:rPr>
          <w:noProof/>
          <w:sz w:val="24"/>
          <w:szCs w:val="24"/>
        </w:rPr>
        <w:t xml:space="preserve"> in Blount County, T</w:t>
      </w:r>
      <w:r w:rsidR="007A1934">
        <w:rPr>
          <w:noProof/>
          <w:sz w:val="24"/>
          <w:szCs w:val="24"/>
        </w:rPr>
        <w:t>ennessee</w:t>
      </w:r>
      <w:r w:rsidR="006E73AE">
        <w:rPr>
          <w:noProof/>
          <w:sz w:val="24"/>
          <w:szCs w:val="24"/>
        </w:rPr>
        <w:t xml:space="preserve">.  The program is designed to be senior-friendly, sustainable and affordable. SMiles </w:t>
      </w:r>
      <w:r w:rsidR="006E73AE" w:rsidRPr="007569BC">
        <w:rPr>
          <w:noProof/>
          <w:sz w:val="24"/>
          <w:szCs w:val="24"/>
        </w:rPr>
        <w:t xml:space="preserve">provides door-through-door transportation for </w:t>
      </w:r>
      <w:r w:rsidR="006E73AE">
        <w:rPr>
          <w:noProof/>
          <w:sz w:val="24"/>
          <w:szCs w:val="24"/>
        </w:rPr>
        <w:t xml:space="preserve">individuals </w:t>
      </w:r>
      <w:r w:rsidR="006E73AE" w:rsidRPr="007569BC">
        <w:rPr>
          <w:noProof/>
          <w:sz w:val="24"/>
          <w:szCs w:val="24"/>
        </w:rPr>
        <w:t>60 years or older.</w:t>
      </w:r>
      <w:r w:rsidR="006E73AE">
        <w:rPr>
          <w:noProof/>
          <w:sz w:val="24"/>
          <w:szCs w:val="24"/>
        </w:rPr>
        <w:t xml:space="preserve"> </w:t>
      </w:r>
      <w:bookmarkStart w:id="0" w:name="_Hlk5607168"/>
    </w:p>
    <w:bookmarkEnd w:id="0"/>
    <w:p w14:paraId="3BBA5A70" w14:textId="00C5C43F" w:rsidR="00AC4D99" w:rsidRDefault="00AC4D99" w:rsidP="00AC4D99">
      <w:pPr>
        <w:spacing w:after="0"/>
        <w:rPr>
          <w:b/>
          <w:sz w:val="24"/>
          <w:szCs w:val="24"/>
        </w:rPr>
      </w:pPr>
    </w:p>
    <w:p w14:paraId="772C5FC3" w14:textId="390A41DB" w:rsidR="00A30D0A" w:rsidRPr="007569BC" w:rsidRDefault="0064004A" w:rsidP="008F4C28">
      <w:pPr>
        <w:spacing w:after="0"/>
        <w:rPr>
          <w:sz w:val="24"/>
          <w:szCs w:val="24"/>
        </w:rPr>
      </w:pPr>
      <w:r w:rsidRPr="007569BC">
        <w:rPr>
          <w:b/>
          <w:sz w:val="24"/>
          <w:szCs w:val="24"/>
        </w:rPr>
        <w:t xml:space="preserve">Service Area: </w:t>
      </w:r>
      <w:r w:rsidR="00267B16" w:rsidRPr="007569BC">
        <w:rPr>
          <w:sz w:val="24"/>
          <w:szCs w:val="24"/>
        </w:rPr>
        <w:t>SMiles</w:t>
      </w:r>
      <w:r w:rsidR="00AC4D99" w:rsidRPr="007569BC">
        <w:rPr>
          <w:sz w:val="24"/>
          <w:szCs w:val="24"/>
        </w:rPr>
        <w:t xml:space="preserve"> </w:t>
      </w:r>
      <w:proofErr w:type="gramStart"/>
      <w:r w:rsidRPr="007569BC">
        <w:rPr>
          <w:sz w:val="24"/>
          <w:szCs w:val="24"/>
        </w:rPr>
        <w:t>serv</w:t>
      </w:r>
      <w:r w:rsidR="00C26FF9">
        <w:rPr>
          <w:sz w:val="24"/>
          <w:szCs w:val="24"/>
        </w:rPr>
        <w:t>es</w:t>
      </w:r>
      <w:proofErr w:type="gramEnd"/>
      <w:r w:rsidRPr="007569BC">
        <w:rPr>
          <w:sz w:val="24"/>
          <w:szCs w:val="24"/>
        </w:rPr>
        <w:t xml:space="preserve"> </w:t>
      </w:r>
      <w:r w:rsidR="002E4945" w:rsidRPr="007569BC">
        <w:rPr>
          <w:sz w:val="24"/>
          <w:szCs w:val="24"/>
        </w:rPr>
        <w:t xml:space="preserve">the area of </w:t>
      </w:r>
      <w:r w:rsidR="00267B16" w:rsidRPr="007569BC">
        <w:rPr>
          <w:sz w:val="24"/>
          <w:szCs w:val="24"/>
        </w:rPr>
        <w:t>Blount County.</w:t>
      </w:r>
    </w:p>
    <w:p w14:paraId="7C62BD50" w14:textId="77777777" w:rsidR="008F4C28" w:rsidRDefault="008F4C28" w:rsidP="008F4C28">
      <w:pPr>
        <w:spacing w:after="0"/>
        <w:rPr>
          <w:b/>
          <w:sz w:val="24"/>
          <w:szCs w:val="24"/>
        </w:rPr>
      </w:pPr>
    </w:p>
    <w:p w14:paraId="7305A177" w14:textId="57E211B0" w:rsidR="005A4080" w:rsidRPr="00A03606" w:rsidRDefault="00987E4B" w:rsidP="001B555B">
      <w:pPr>
        <w:spacing w:after="0"/>
        <w:rPr>
          <w:sz w:val="24"/>
          <w:szCs w:val="24"/>
        </w:rPr>
      </w:pPr>
      <w:r w:rsidRPr="007569BC">
        <w:rPr>
          <w:b/>
          <w:sz w:val="24"/>
          <w:szCs w:val="24"/>
        </w:rPr>
        <w:t>P</w:t>
      </w:r>
      <w:r w:rsidR="0064004A" w:rsidRPr="007569BC">
        <w:rPr>
          <w:b/>
          <w:sz w:val="24"/>
          <w:szCs w:val="24"/>
        </w:rPr>
        <w:t xml:space="preserve">opulation: </w:t>
      </w:r>
      <w:r w:rsidR="0064004A" w:rsidRPr="007569BC">
        <w:rPr>
          <w:sz w:val="24"/>
          <w:szCs w:val="24"/>
        </w:rPr>
        <w:t xml:space="preserve">Approximately </w:t>
      </w:r>
      <w:r w:rsidR="00F70A29" w:rsidRPr="007569BC">
        <w:rPr>
          <w:sz w:val="24"/>
          <w:szCs w:val="24"/>
        </w:rPr>
        <w:t xml:space="preserve">129,929 </w:t>
      </w:r>
      <w:r w:rsidR="0064004A" w:rsidRPr="007569BC">
        <w:rPr>
          <w:sz w:val="24"/>
          <w:szCs w:val="24"/>
        </w:rPr>
        <w:t xml:space="preserve">people </w:t>
      </w:r>
      <w:r w:rsidR="00CE74B1" w:rsidRPr="007569BC">
        <w:rPr>
          <w:sz w:val="24"/>
          <w:szCs w:val="24"/>
        </w:rPr>
        <w:t>live in</w:t>
      </w:r>
      <w:r w:rsidR="00AC4D99" w:rsidRPr="007569BC">
        <w:rPr>
          <w:sz w:val="24"/>
          <w:szCs w:val="24"/>
        </w:rPr>
        <w:t xml:space="preserve"> </w:t>
      </w:r>
      <w:r w:rsidR="00705127">
        <w:rPr>
          <w:sz w:val="24"/>
          <w:szCs w:val="24"/>
        </w:rPr>
        <w:t>Blount County</w:t>
      </w:r>
      <w:r w:rsidR="009503A9">
        <w:rPr>
          <w:sz w:val="24"/>
          <w:szCs w:val="24"/>
        </w:rPr>
        <w:t>, TN.</w:t>
      </w:r>
      <w:r w:rsidR="0064004A" w:rsidRPr="007569BC">
        <w:rPr>
          <w:sz w:val="24"/>
          <w:szCs w:val="24"/>
        </w:rPr>
        <w:t xml:space="preserve"> </w:t>
      </w:r>
      <w:r w:rsidR="006B5EF8" w:rsidRPr="007569BC">
        <w:rPr>
          <w:sz w:val="24"/>
          <w:szCs w:val="24"/>
        </w:rPr>
        <w:t xml:space="preserve">Nineteen percent (19%) of the county’s population is over </w:t>
      </w:r>
      <w:r w:rsidR="006B5EF8" w:rsidRPr="00A03606">
        <w:rPr>
          <w:sz w:val="24"/>
          <w:szCs w:val="24"/>
        </w:rPr>
        <w:t xml:space="preserve">60 years </w:t>
      </w:r>
      <w:r w:rsidR="002E4945" w:rsidRPr="00A03606">
        <w:rPr>
          <w:sz w:val="24"/>
          <w:szCs w:val="24"/>
        </w:rPr>
        <w:t>of age.</w:t>
      </w:r>
    </w:p>
    <w:p w14:paraId="77129E9B" w14:textId="77777777" w:rsidR="001B555B" w:rsidRDefault="001B555B" w:rsidP="001B555B">
      <w:pPr>
        <w:spacing w:after="0"/>
        <w:rPr>
          <w:b/>
          <w:i/>
          <w:sz w:val="24"/>
          <w:szCs w:val="24"/>
        </w:rPr>
      </w:pPr>
    </w:p>
    <w:p w14:paraId="3A1058BA" w14:textId="353FD74A" w:rsidR="00861D1B" w:rsidRPr="00A03606" w:rsidRDefault="008F4C28" w:rsidP="001B555B">
      <w:pPr>
        <w:spacing w:after="0"/>
        <w:rPr>
          <w:i/>
          <w:sz w:val="24"/>
          <w:szCs w:val="24"/>
        </w:rPr>
      </w:pPr>
      <w:r w:rsidRPr="007569BC">
        <w:rPr>
          <w:b/>
          <w:i/>
          <w:sz w:val="24"/>
          <w:szCs w:val="24"/>
        </w:rPr>
        <w:t>Challenge</w:t>
      </w:r>
      <w:r w:rsidR="00A61AB7" w:rsidRPr="007569BC">
        <w:rPr>
          <w:b/>
          <w:i/>
          <w:sz w:val="24"/>
          <w:szCs w:val="24"/>
        </w:rPr>
        <w:t>:</w:t>
      </w:r>
      <w:r w:rsidR="00B83683" w:rsidRPr="007569BC">
        <w:rPr>
          <w:sz w:val="24"/>
          <w:szCs w:val="24"/>
        </w:rPr>
        <w:t xml:space="preserve"> </w:t>
      </w:r>
      <w:r w:rsidR="006B5EF8" w:rsidRPr="007569BC">
        <w:rPr>
          <w:i/>
          <w:sz w:val="24"/>
          <w:szCs w:val="24"/>
        </w:rPr>
        <w:t>Blount County is a rural community with limited low-cost transportation options</w:t>
      </w:r>
      <w:r w:rsidR="00705127">
        <w:rPr>
          <w:i/>
          <w:sz w:val="24"/>
          <w:szCs w:val="24"/>
        </w:rPr>
        <w:t xml:space="preserve"> for</w:t>
      </w:r>
      <w:r w:rsidR="00342B45" w:rsidRPr="007569BC">
        <w:rPr>
          <w:i/>
          <w:sz w:val="24"/>
          <w:szCs w:val="24"/>
        </w:rPr>
        <w:t xml:space="preserve"> </w:t>
      </w:r>
      <w:r w:rsidR="00A03606" w:rsidRPr="00A03606">
        <w:rPr>
          <w:i/>
          <w:sz w:val="24"/>
          <w:szCs w:val="24"/>
        </w:rPr>
        <w:t>older adults.</w:t>
      </w:r>
    </w:p>
    <w:p w14:paraId="730A7749" w14:textId="77777777" w:rsidR="001B555B" w:rsidRDefault="001B555B" w:rsidP="00A66D87">
      <w:pPr>
        <w:spacing w:after="0"/>
        <w:rPr>
          <w:b/>
          <w:sz w:val="24"/>
          <w:szCs w:val="24"/>
        </w:rPr>
      </w:pPr>
    </w:p>
    <w:p w14:paraId="2028B336" w14:textId="205B8BAF" w:rsidR="007628B5" w:rsidRPr="007569BC" w:rsidRDefault="00055222" w:rsidP="00A66D87">
      <w:pPr>
        <w:spacing w:after="0"/>
        <w:rPr>
          <w:b/>
          <w:sz w:val="24"/>
          <w:szCs w:val="24"/>
        </w:rPr>
      </w:pPr>
      <w:r w:rsidRPr="007569BC">
        <w:rPr>
          <w:b/>
          <w:sz w:val="24"/>
          <w:szCs w:val="24"/>
        </w:rPr>
        <w:t>How the Program Works</w:t>
      </w:r>
      <w:r w:rsidR="00352A01" w:rsidRPr="007569BC">
        <w:rPr>
          <w:b/>
          <w:sz w:val="24"/>
          <w:szCs w:val="24"/>
        </w:rPr>
        <w:t>:</w:t>
      </w:r>
    </w:p>
    <w:p w14:paraId="5BC4960E" w14:textId="1BB9B524" w:rsidR="00705127" w:rsidRDefault="00267B16" w:rsidP="008173F5">
      <w:pPr>
        <w:spacing w:after="0"/>
        <w:rPr>
          <w:rFonts w:cstheme="minorHAnsi"/>
          <w:sz w:val="24"/>
          <w:szCs w:val="24"/>
        </w:rPr>
      </w:pPr>
      <w:r w:rsidRPr="00AD0A2E">
        <w:rPr>
          <w:rFonts w:cstheme="minorHAnsi"/>
          <w:sz w:val="24"/>
          <w:szCs w:val="24"/>
        </w:rPr>
        <w:t>SMiles</w:t>
      </w:r>
      <w:r w:rsidR="00777676" w:rsidRPr="00AD0A2E">
        <w:rPr>
          <w:rFonts w:cstheme="minorHAnsi"/>
          <w:sz w:val="24"/>
          <w:szCs w:val="24"/>
        </w:rPr>
        <w:t xml:space="preserve"> is a </w:t>
      </w:r>
      <w:r w:rsidR="009C7F39" w:rsidRPr="00AD0A2E">
        <w:rPr>
          <w:rFonts w:cstheme="minorHAnsi"/>
          <w:sz w:val="24"/>
          <w:szCs w:val="24"/>
        </w:rPr>
        <w:t>membership-based</w:t>
      </w:r>
      <w:r w:rsidR="00777676" w:rsidRPr="00AD0A2E">
        <w:rPr>
          <w:rFonts w:cstheme="minorHAnsi"/>
          <w:sz w:val="24"/>
          <w:szCs w:val="24"/>
        </w:rPr>
        <w:t xml:space="preserve"> program for adults 60 or older</w:t>
      </w:r>
      <w:r w:rsidR="00705127">
        <w:rPr>
          <w:rFonts w:cstheme="minorHAnsi"/>
          <w:sz w:val="24"/>
          <w:szCs w:val="24"/>
        </w:rPr>
        <w:t xml:space="preserve"> who are </w:t>
      </w:r>
      <w:r w:rsidR="00777676" w:rsidRPr="00AD0A2E">
        <w:rPr>
          <w:rFonts w:cstheme="minorHAnsi"/>
          <w:sz w:val="24"/>
          <w:szCs w:val="24"/>
        </w:rPr>
        <w:t>unable to drive</w:t>
      </w:r>
      <w:r w:rsidR="008173F5">
        <w:rPr>
          <w:rFonts w:cstheme="minorHAnsi"/>
          <w:sz w:val="24"/>
          <w:szCs w:val="24"/>
        </w:rPr>
        <w:t xml:space="preserve"> and </w:t>
      </w:r>
      <w:r w:rsidR="000F15B1" w:rsidRPr="00AD0A2E">
        <w:rPr>
          <w:rFonts w:cstheme="minorHAnsi"/>
          <w:sz w:val="24"/>
          <w:szCs w:val="24"/>
        </w:rPr>
        <w:t xml:space="preserve">ambulatory </w:t>
      </w:r>
      <w:r w:rsidR="008173F5" w:rsidRPr="008173F5">
        <w:rPr>
          <w:rFonts w:cstheme="minorHAnsi"/>
          <w:sz w:val="24"/>
          <w:szCs w:val="24"/>
        </w:rPr>
        <w:t>with assistance of a cane or walker; wheelchairs can</w:t>
      </w:r>
      <w:r w:rsidR="00705127">
        <w:rPr>
          <w:rFonts w:cstheme="minorHAnsi"/>
          <w:sz w:val="24"/>
          <w:szCs w:val="24"/>
        </w:rPr>
        <w:t>not</w:t>
      </w:r>
      <w:r w:rsidR="008173F5" w:rsidRPr="008173F5">
        <w:rPr>
          <w:rFonts w:cstheme="minorHAnsi"/>
          <w:sz w:val="24"/>
          <w:szCs w:val="24"/>
        </w:rPr>
        <w:t xml:space="preserve"> be accommodated.</w:t>
      </w:r>
      <w:r w:rsidR="008173F5">
        <w:rPr>
          <w:rFonts w:cstheme="minorHAnsi"/>
          <w:sz w:val="24"/>
          <w:szCs w:val="24"/>
        </w:rPr>
        <w:t xml:space="preserve"> </w:t>
      </w:r>
      <w:r w:rsidR="009C7F39" w:rsidRPr="00AD0A2E">
        <w:rPr>
          <w:rFonts w:cstheme="minorHAnsi"/>
          <w:sz w:val="24"/>
          <w:szCs w:val="24"/>
        </w:rPr>
        <w:t xml:space="preserve">An initial payment of $49.00 covers annual membership plus </w:t>
      </w:r>
      <w:r w:rsidR="007A1934">
        <w:rPr>
          <w:rFonts w:cstheme="minorHAnsi"/>
          <w:sz w:val="24"/>
          <w:szCs w:val="24"/>
        </w:rPr>
        <w:t>four</w:t>
      </w:r>
      <w:r w:rsidR="007A2FFA" w:rsidRPr="00AD0A2E">
        <w:rPr>
          <w:rFonts w:cstheme="minorHAnsi"/>
          <w:sz w:val="24"/>
          <w:szCs w:val="24"/>
        </w:rPr>
        <w:t xml:space="preserve"> round trip</w:t>
      </w:r>
      <w:r w:rsidR="009C7F39" w:rsidRPr="00AD0A2E">
        <w:rPr>
          <w:rFonts w:cstheme="minorHAnsi"/>
          <w:sz w:val="24"/>
          <w:szCs w:val="24"/>
        </w:rPr>
        <w:t xml:space="preserve"> rides: the annual membership</w:t>
      </w:r>
      <w:r w:rsidR="00826890">
        <w:rPr>
          <w:rFonts w:cstheme="minorHAnsi"/>
          <w:sz w:val="24"/>
          <w:szCs w:val="24"/>
        </w:rPr>
        <w:t xml:space="preserve"> fee</w:t>
      </w:r>
      <w:r w:rsidR="009C7F39" w:rsidRPr="00AD0A2E">
        <w:rPr>
          <w:rFonts w:cstheme="minorHAnsi"/>
          <w:sz w:val="24"/>
          <w:szCs w:val="24"/>
        </w:rPr>
        <w:t xml:space="preserve"> is $25.00; rides cost $</w:t>
      </w:r>
      <w:r w:rsidR="007A2FFA" w:rsidRPr="00AD0A2E">
        <w:rPr>
          <w:rFonts w:cstheme="minorHAnsi"/>
          <w:sz w:val="24"/>
          <w:szCs w:val="24"/>
        </w:rPr>
        <w:t>6</w:t>
      </w:r>
      <w:r w:rsidR="009C7F39" w:rsidRPr="00AD0A2E">
        <w:rPr>
          <w:rFonts w:cstheme="minorHAnsi"/>
          <w:sz w:val="24"/>
          <w:szCs w:val="24"/>
        </w:rPr>
        <w:t xml:space="preserve">.00 </w:t>
      </w:r>
      <w:r w:rsidR="00C26FF9" w:rsidRPr="00AD0A2E">
        <w:rPr>
          <w:rFonts w:cstheme="minorHAnsi"/>
          <w:sz w:val="24"/>
          <w:szCs w:val="24"/>
        </w:rPr>
        <w:t>per round trip</w:t>
      </w:r>
      <w:r w:rsidR="009C7F39" w:rsidRPr="00AD0A2E">
        <w:rPr>
          <w:rFonts w:cstheme="minorHAnsi"/>
          <w:sz w:val="24"/>
          <w:szCs w:val="24"/>
        </w:rPr>
        <w:t xml:space="preserve">. </w:t>
      </w:r>
      <w:r w:rsidR="0085637C" w:rsidRPr="0085637C">
        <w:rPr>
          <w:rFonts w:cstheme="minorHAnsi"/>
          <w:sz w:val="24"/>
          <w:szCs w:val="24"/>
        </w:rPr>
        <w:t>All fees are paid in advance by check or credit card to Blount County Community Action Agency.</w:t>
      </w:r>
      <w:r w:rsidR="00D10B8A" w:rsidRPr="00D10B8A">
        <w:t xml:space="preserve"> </w:t>
      </w:r>
      <w:r w:rsidR="00D10B8A" w:rsidRPr="00D10B8A">
        <w:rPr>
          <w:rFonts w:cstheme="minorHAnsi"/>
          <w:sz w:val="24"/>
          <w:szCs w:val="24"/>
        </w:rPr>
        <w:t>Volunteers do not accept any money from riders.</w:t>
      </w:r>
      <w:r w:rsidR="00A95C31">
        <w:rPr>
          <w:rFonts w:cstheme="minorHAnsi"/>
          <w:sz w:val="24"/>
          <w:szCs w:val="24"/>
        </w:rPr>
        <w:t xml:space="preserve"> </w:t>
      </w:r>
      <w:r w:rsidR="00FD776D">
        <w:rPr>
          <w:rFonts w:cstheme="minorHAnsi"/>
          <w:sz w:val="24"/>
          <w:szCs w:val="24"/>
        </w:rPr>
        <w:t>Caregivers, family, friends</w:t>
      </w:r>
      <w:r w:rsidR="005113B9">
        <w:rPr>
          <w:rFonts w:cstheme="minorHAnsi"/>
          <w:sz w:val="24"/>
          <w:szCs w:val="24"/>
        </w:rPr>
        <w:t xml:space="preserve"> or faith-based organizations</w:t>
      </w:r>
      <w:r w:rsidR="00FD776D">
        <w:rPr>
          <w:rFonts w:cstheme="minorHAnsi"/>
          <w:sz w:val="24"/>
          <w:szCs w:val="24"/>
        </w:rPr>
        <w:t xml:space="preserve"> can submit membership and rider fees on behalf of the member.</w:t>
      </w:r>
    </w:p>
    <w:p w14:paraId="41996628" w14:textId="77777777" w:rsidR="00705127" w:rsidRDefault="00705127" w:rsidP="008173F5">
      <w:pPr>
        <w:spacing w:after="0"/>
        <w:rPr>
          <w:rFonts w:cstheme="minorHAnsi"/>
          <w:sz w:val="24"/>
          <w:szCs w:val="24"/>
        </w:rPr>
      </w:pPr>
    </w:p>
    <w:p w14:paraId="5A580DEC" w14:textId="12A34966" w:rsidR="00D7762B" w:rsidRPr="00AD0A2E" w:rsidRDefault="00A03606" w:rsidP="008173F5">
      <w:pPr>
        <w:spacing w:after="0"/>
        <w:rPr>
          <w:rFonts w:cstheme="minorHAnsi"/>
          <w:sz w:val="24"/>
          <w:szCs w:val="24"/>
        </w:rPr>
      </w:pPr>
      <w:r w:rsidRPr="00AD0A2E">
        <w:rPr>
          <w:rFonts w:cstheme="minorHAnsi"/>
          <w:sz w:val="24"/>
          <w:szCs w:val="24"/>
        </w:rPr>
        <w:lastRenderedPageBreak/>
        <w:t xml:space="preserve">To sign up for </w:t>
      </w:r>
      <w:r w:rsidR="00705127">
        <w:rPr>
          <w:rFonts w:cstheme="minorHAnsi"/>
          <w:sz w:val="24"/>
          <w:szCs w:val="24"/>
        </w:rPr>
        <w:t xml:space="preserve">the </w:t>
      </w:r>
      <w:r w:rsidR="00D7762B" w:rsidRPr="00AD0A2E">
        <w:rPr>
          <w:rFonts w:cstheme="minorHAnsi"/>
          <w:sz w:val="24"/>
          <w:szCs w:val="24"/>
        </w:rPr>
        <w:t>SMiles transportation program</w:t>
      </w:r>
      <w:r w:rsidRPr="00AD0A2E">
        <w:rPr>
          <w:rFonts w:cstheme="minorHAnsi"/>
          <w:sz w:val="24"/>
          <w:szCs w:val="24"/>
        </w:rPr>
        <w:t xml:space="preserve">, </w:t>
      </w:r>
      <w:r w:rsidR="009C7F39" w:rsidRPr="00AD0A2E">
        <w:rPr>
          <w:rFonts w:cstheme="minorHAnsi"/>
          <w:sz w:val="24"/>
          <w:szCs w:val="24"/>
        </w:rPr>
        <w:t>an individual calls the office</w:t>
      </w:r>
      <w:r w:rsidR="00826890">
        <w:rPr>
          <w:rFonts w:cstheme="minorHAnsi"/>
          <w:sz w:val="24"/>
          <w:szCs w:val="24"/>
        </w:rPr>
        <w:t xml:space="preserve">. Staff </w:t>
      </w:r>
      <w:r w:rsidR="009C7F39" w:rsidRPr="00AD0A2E">
        <w:rPr>
          <w:rFonts w:cstheme="minorHAnsi"/>
          <w:sz w:val="24"/>
          <w:szCs w:val="24"/>
        </w:rPr>
        <w:t>conducts a pre-screening which addresses the requirements for eligibility</w:t>
      </w:r>
      <w:r w:rsidR="00FD776D">
        <w:rPr>
          <w:rFonts w:cstheme="minorHAnsi"/>
          <w:sz w:val="24"/>
          <w:szCs w:val="24"/>
        </w:rPr>
        <w:t xml:space="preserve"> (unable to drive, ambulatory and able to communicate by phone)</w:t>
      </w:r>
      <w:r w:rsidR="009C7F39" w:rsidRPr="00AD0A2E">
        <w:rPr>
          <w:rFonts w:cstheme="minorHAnsi"/>
          <w:sz w:val="24"/>
          <w:szCs w:val="24"/>
        </w:rPr>
        <w:t xml:space="preserve">. </w:t>
      </w:r>
      <w:r w:rsidR="00826890" w:rsidRPr="00826890">
        <w:rPr>
          <w:rFonts w:cstheme="minorHAnsi"/>
          <w:sz w:val="24"/>
          <w:szCs w:val="24"/>
        </w:rPr>
        <w:t>After the pre-screening, a packet of information consisting of  membership, informed consent</w:t>
      </w:r>
      <w:r w:rsidR="006E73AE">
        <w:rPr>
          <w:rFonts w:cstheme="minorHAnsi"/>
          <w:sz w:val="24"/>
          <w:szCs w:val="24"/>
        </w:rPr>
        <w:t xml:space="preserve"> and code of conduct </w:t>
      </w:r>
      <w:r w:rsidR="00826890" w:rsidRPr="00826890">
        <w:rPr>
          <w:rFonts w:cstheme="minorHAnsi"/>
          <w:sz w:val="24"/>
          <w:szCs w:val="24"/>
        </w:rPr>
        <w:t>form</w:t>
      </w:r>
      <w:r w:rsidR="006E73AE">
        <w:rPr>
          <w:rFonts w:cstheme="minorHAnsi"/>
          <w:sz w:val="24"/>
          <w:szCs w:val="24"/>
        </w:rPr>
        <w:t>s</w:t>
      </w:r>
      <w:r w:rsidR="00826890" w:rsidRPr="00826890">
        <w:rPr>
          <w:rFonts w:cstheme="minorHAnsi"/>
          <w:sz w:val="24"/>
          <w:szCs w:val="24"/>
        </w:rPr>
        <w:t xml:space="preserve"> must be completed and </w:t>
      </w:r>
      <w:r w:rsidR="006E73AE">
        <w:rPr>
          <w:rFonts w:cstheme="minorHAnsi"/>
          <w:sz w:val="24"/>
          <w:szCs w:val="24"/>
        </w:rPr>
        <w:t>returned</w:t>
      </w:r>
      <w:r w:rsidR="00826890" w:rsidRPr="00826890">
        <w:rPr>
          <w:rFonts w:cstheme="minorHAnsi"/>
          <w:sz w:val="24"/>
          <w:szCs w:val="24"/>
        </w:rPr>
        <w:t xml:space="preserve"> to </w:t>
      </w:r>
      <w:r w:rsidR="007E4A32">
        <w:rPr>
          <w:rFonts w:cstheme="minorHAnsi"/>
          <w:sz w:val="24"/>
          <w:szCs w:val="24"/>
        </w:rPr>
        <w:t>the SMiles office</w:t>
      </w:r>
      <w:r w:rsidR="00826890" w:rsidRPr="00826890">
        <w:rPr>
          <w:rFonts w:cstheme="minorHAnsi"/>
          <w:sz w:val="24"/>
          <w:szCs w:val="24"/>
        </w:rPr>
        <w:t xml:space="preserve">. </w:t>
      </w:r>
      <w:r w:rsidR="00845887">
        <w:rPr>
          <w:rFonts w:cstheme="minorHAnsi"/>
          <w:sz w:val="24"/>
          <w:szCs w:val="24"/>
        </w:rPr>
        <w:t xml:space="preserve">Individuals that </w:t>
      </w:r>
      <w:r w:rsidR="00B728F0">
        <w:rPr>
          <w:rFonts w:cstheme="minorHAnsi"/>
          <w:sz w:val="24"/>
          <w:szCs w:val="24"/>
        </w:rPr>
        <w:t>cannot be accommodated</w:t>
      </w:r>
      <w:r w:rsidR="00845887">
        <w:rPr>
          <w:rFonts w:cstheme="minorHAnsi"/>
          <w:sz w:val="24"/>
          <w:szCs w:val="24"/>
        </w:rPr>
        <w:t xml:space="preserve"> (e.g. require a wheelchair) </w:t>
      </w:r>
      <w:r w:rsidR="00B728F0">
        <w:rPr>
          <w:rFonts w:cstheme="minorHAnsi"/>
          <w:sz w:val="24"/>
          <w:szCs w:val="24"/>
        </w:rPr>
        <w:t>through</w:t>
      </w:r>
      <w:r w:rsidR="00845887">
        <w:rPr>
          <w:rFonts w:cstheme="minorHAnsi"/>
          <w:sz w:val="24"/>
          <w:szCs w:val="24"/>
        </w:rPr>
        <w:t xml:space="preserve"> SMiles transportation program are referred to</w:t>
      </w:r>
      <w:r w:rsidR="0043712D">
        <w:rPr>
          <w:rFonts w:cstheme="minorHAnsi"/>
          <w:sz w:val="24"/>
          <w:szCs w:val="24"/>
        </w:rPr>
        <w:t xml:space="preserve"> the </w:t>
      </w:r>
      <w:r w:rsidR="00DF37C5">
        <w:rPr>
          <w:rFonts w:cstheme="minorHAnsi"/>
          <w:sz w:val="24"/>
          <w:szCs w:val="24"/>
        </w:rPr>
        <w:t>East Tennessee Human Resource Agency (ETHRA)</w:t>
      </w:r>
      <w:r w:rsidR="00C31332">
        <w:rPr>
          <w:rFonts w:cstheme="minorHAnsi"/>
          <w:sz w:val="24"/>
          <w:szCs w:val="24"/>
        </w:rPr>
        <w:t>,</w:t>
      </w:r>
      <w:r w:rsidR="00437E74">
        <w:rPr>
          <w:rFonts w:cstheme="minorHAnsi"/>
          <w:sz w:val="24"/>
          <w:szCs w:val="24"/>
        </w:rPr>
        <w:t xml:space="preserve"> </w:t>
      </w:r>
      <w:r w:rsidR="0043712D">
        <w:rPr>
          <w:rFonts w:cstheme="minorHAnsi"/>
          <w:sz w:val="24"/>
          <w:szCs w:val="24"/>
        </w:rPr>
        <w:t>which provides services for persons over the age of 60, family caregivers</w:t>
      </w:r>
      <w:r w:rsidR="007A1934">
        <w:rPr>
          <w:rFonts w:cstheme="minorHAnsi"/>
          <w:sz w:val="24"/>
          <w:szCs w:val="24"/>
        </w:rPr>
        <w:t>,</w:t>
      </w:r>
      <w:r w:rsidR="0043712D">
        <w:rPr>
          <w:rFonts w:cstheme="minorHAnsi"/>
          <w:sz w:val="24"/>
          <w:szCs w:val="24"/>
        </w:rPr>
        <w:t xml:space="preserve"> or adults with disabilities.</w:t>
      </w:r>
      <w:r w:rsidR="00B704DE">
        <w:rPr>
          <w:rFonts w:cstheme="minorHAnsi"/>
          <w:sz w:val="24"/>
          <w:szCs w:val="24"/>
        </w:rPr>
        <w:t xml:space="preserve"> </w:t>
      </w:r>
    </w:p>
    <w:p w14:paraId="47EDC4AD" w14:textId="77777777" w:rsidR="00D7762B" w:rsidRPr="00AD0A2E" w:rsidRDefault="00D7762B" w:rsidP="008173F5">
      <w:pPr>
        <w:spacing w:after="0"/>
        <w:rPr>
          <w:rFonts w:cstheme="minorHAnsi"/>
          <w:sz w:val="24"/>
          <w:szCs w:val="24"/>
        </w:rPr>
      </w:pPr>
    </w:p>
    <w:p w14:paraId="35165F2F" w14:textId="2801A85D" w:rsidR="009C7F39" w:rsidRPr="00AD0A2E" w:rsidRDefault="007E4A32" w:rsidP="008173F5">
      <w:pPr>
        <w:spacing w:after="0"/>
        <w:rPr>
          <w:rFonts w:cstheme="minorHAnsi"/>
          <w:sz w:val="24"/>
          <w:szCs w:val="24"/>
        </w:rPr>
      </w:pPr>
      <w:r w:rsidRPr="007E4A32">
        <w:rPr>
          <w:rFonts w:cstheme="minorHAnsi"/>
          <w:sz w:val="24"/>
          <w:szCs w:val="24"/>
        </w:rPr>
        <w:t xml:space="preserve">Once the membership forms are returned along with payment, </w:t>
      </w:r>
      <w:r>
        <w:rPr>
          <w:rFonts w:cstheme="minorHAnsi"/>
          <w:sz w:val="24"/>
          <w:szCs w:val="24"/>
        </w:rPr>
        <w:t xml:space="preserve">the rider is entered into </w:t>
      </w:r>
      <w:r w:rsidR="009C7F39" w:rsidRPr="00AD0A2E">
        <w:rPr>
          <w:rFonts w:cstheme="minorHAnsi"/>
          <w:sz w:val="24"/>
          <w:szCs w:val="24"/>
        </w:rPr>
        <w:t xml:space="preserve">the </w:t>
      </w:r>
      <w:r w:rsidR="007569BC" w:rsidRPr="000F1492">
        <w:rPr>
          <w:rFonts w:cstheme="minorHAnsi"/>
          <w:i/>
          <w:sz w:val="24"/>
          <w:szCs w:val="24"/>
        </w:rPr>
        <w:t>Assisted Rides</w:t>
      </w:r>
      <w:r w:rsidR="007569BC" w:rsidRPr="00AD0A2E">
        <w:rPr>
          <w:rFonts w:cstheme="minorHAnsi"/>
          <w:sz w:val="24"/>
          <w:szCs w:val="24"/>
        </w:rPr>
        <w:t xml:space="preserve"> </w:t>
      </w:r>
      <w:r w:rsidR="009C7F39" w:rsidRPr="00AD0A2E">
        <w:rPr>
          <w:rFonts w:cstheme="minorHAnsi"/>
          <w:sz w:val="24"/>
          <w:szCs w:val="24"/>
        </w:rPr>
        <w:t>software system</w:t>
      </w:r>
      <w:r w:rsidR="00D7762B" w:rsidRPr="00AD0A2E">
        <w:rPr>
          <w:rFonts w:cstheme="minorHAnsi"/>
          <w:sz w:val="24"/>
          <w:szCs w:val="24"/>
        </w:rPr>
        <w:t>,</w:t>
      </w:r>
      <w:r w:rsidR="009C7F39" w:rsidRPr="00AD0A2E">
        <w:rPr>
          <w:rFonts w:cstheme="minorHAnsi"/>
          <w:sz w:val="24"/>
          <w:szCs w:val="24"/>
        </w:rPr>
        <w:t xml:space="preserve"> </w:t>
      </w:r>
      <w:r w:rsidR="00D7762B" w:rsidRPr="00AD0A2E">
        <w:rPr>
          <w:rFonts w:cstheme="minorHAnsi"/>
          <w:sz w:val="24"/>
          <w:szCs w:val="24"/>
        </w:rPr>
        <w:t>a web-based program that tracks all rides, client accounts,</w:t>
      </w:r>
      <w:r w:rsidR="008A6D00">
        <w:rPr>
          <w:rFonts w:cstheme="minorHAnsi"/>
          <w:sz w:val="24"/>
          <w:szCs w:val="24"/>
        </w:rPr>
        <w:t xml:space="preserve"> client payments,</w:t>
      </w:r>
      <w:r w:rsidR="00D7762B" w:rsidRPr="00AD0A2E">
        <w:rPr>
          <w:rFonts w:cstheme="minorHAnsi"/>
          <w:sz w:val="24"/>
          <w:szCs w:val="24"/>
        </w:rPr>
        <w:t xml:space="preserve"> volunteer records, trips, and destinations. </w:t>
      </w:r>
      <w:r w:rsidR="007D1BB1">
        <w:rPr>
          <w:rFonts w:cstheme="minorHAnsi"/>
          <w:sz w:val="24"/>
          <w:szCs w:val="24"/>
        </w:rPr>
        <w:t xml:space="preserve">After a </w:t>
      </w:r>
      <w:r w:rsidR="00D7762B" w:rsidRPr="00AD0A2E">
        <w:rPr>
          <w:rFonts w:cstheme="minorHAnsi"/>
          <w:sz w:val="24"/>
          <w:szCs w:val="24"/>
        </w:rPr>
        <w:t>rider</w:t>
      </w:r>
      <w:r w:rsidR="00AF14DD" w:rsidRPr="00AD0A2E">
        <w:rPr>
          <w:rFonts w:cstheme="minorHAnsi"/>
          <w:sz w:val="24"/>
          <w:szCs w:val="24"/>
        </w:rPr>
        <w:t>’s</w:t>
      </w:r>
      <w:r w:rsidR="00D7762B" w:rsidRPr="00AD0A2E">
        <w:rPr>
          <w:rFonts w:cstheme="minorHAnsi"/>
          <w:sz w:val="24"/>
          <w:szCs w:val="24"/>
        </w:rPr>
        <w:t xml:space="preserve"> </w:t>
      </w:r>
      <w:r w:rsidR="009C7F39" w:rsidRPr="00AD0A2E">
        <w:rPr>
          <w:rFonts w:cstheme="minorHAnsi"/>
          <w:sz w:val="24"/>
          <w:szCs w:val="24"/>
        </w:rPr>
        <w:t xml:space="preserve">account is set up, </w:t>
      </w:r>
      <w:r w:rsidR="00D7762B" w:rsidRPr="00AD0A2E">
        <w:rPr>
          <w:rFonts w:cstheme="minorHAnsi"/>
          <w:sz w:val="24"/>
          <w:szCs w:val="24"/>
        </w:rPr>
        <w:t>they</w:t>
      </w:r>
      <w:r w:rsidR="009C7F39" w:rsidRPr="00AD0A2E">
        <w:rPr>
          <w:rFonts w:cstheme="minorHAnsi"/>
          <w:sz w:val="24"/>
          <w:szCs w:val="24"/>
        </w:rPr>
        <w:t xml:space="preserve"> can immediately start calling for rides</w:t>
      </w:r>
      <w:r w:rsidR="00B704DE">
        <w:rPr>
          <w:rFonts w:cstheme="minorHAnsi"/>
          <w:sz w:val="24"/>
          <w:szCs w:val="24"/>
        </w:rPr>
        <w:t xml:space="preserve">. </w:t>
      </w:r>
      <w:r w:rsidR="009531E4">
        <w:rPr>
          <w:rFonts w:cstheme="minorHAnsi"/>
          <w:sz w:val="24"/>
          <w:szCs w:val="24"/>
        </w:rPr>
        <w:t xml:space="preserve">Members also have the option to log in to the </w:t>
      </w:r>
      <w:r w:rsidR="009531E4" w:rsidRPr="000F1492">
        <w:rPr>
          <w:rFonts w:cstheme="minorHAnsi"/>
          <w:i/>
          <w:sz w:val="24"/>
          <w:szCs w:val="24"/>
        </w:rPr>
        <w:t>Assisted Rides</w:t>
      </w:r>
      <w:r w:rsidR="009531E4">
        <w:rPr>
          <w:rFonts w:cstheme="minorHAnsi"/>
          <w:sz w:val="24"/>
          <w:szCs w:val="24"/>
        </w:rPr>
        <w:t xml:space="preserve"> system and schedule rides. </w:t>
      </w:r>
      <w:r w:rsidR="00AF691A">
        <w:rPr>
          <w:rFonts w:cstheme="minorHAnsi"/>
          <w:sz w:val="24"/>
          <w:szCs w:val="24"/>
        </w:rPr>
        <w:t>A lead time of three days is typically required to book a ride.</w:t>
      </w:r>
      <w:r w:rsidR="00442A6E" w:rsidRPr="00442A6E">
        <w:t xml:space="preserve"> </w:t>
      </w:r>
      <w:r w:rsidR="00442A6E" w:rsidRPr="00442A6E">
        <w:rPr>
          <w:rFonts w:cstheme="minorHAnsi"/>
          <w:sz w:val="24"/>
          <w:szCs w:val="24"/>
        </w:rPr>
        <w:t>The rider’s request is posted online in the Assisted Rides system and selected by an available volunteer</w:t>
      </w:r>
      <w:r w:rsidR="00442A6E">
        <w:rPr>
          <w:rFonts w:cstheme="minorHAnsi"/>
          <w:sz w:val="24"/>
          <w:szCs w:val="24"/>
        </w:rPr>
        <w:t xml:space="preserve">. </w:t>
      </w:r>
      <w:r w:rsidR="00FA6DAB">
        <w:rPr>
          <w:rFonts w:cstheme="minorHAnsi"/>
          <w:sz w:val="24"/>
          <w:szCs w:val="24"/>
        </w:rPr>
        <w:t>SMiles drivers</w:t>
      </w:r>
      <w:r w:rsidR="003932F9">
        <w:rPr>
          <w:rFonts w:cstheme="minorHAnsi"/>
          <w:sz w:val="24"/>
          <w:szCs w:val="24"/>
        </w:rPr>
        <w:t xml:space="preserve"> log into the system to check pending rides and then </w:t>
      </w:r>
      <w:r w:rsidR="00442A6E">
        <w:rPr>
          <w:rFonts w:cstheme="minorHAnsi"/>
          <w:sz w:val="24"/>
          <w:szCs w:val="24"/>
        </w:rPr>
        <w:t>self-assign rides online using Assisted Rides Software</w:t>
      </w:r>
      <w:bookmarkStart w:id="1" w:name="_Hlk5018319"/>
      <w:r>
        <w:rPr>
          <w:rFonts w:cstheme="minorHAnsi"/>
          <w:sz w:val="24"/>
          <w:szCs w:val="24"/>
        </w:rPr>
        <w:t xml:space="preserve">, </w:t>
      </w:r>
      <w:r w:rsidRPr="007E4A32">
        <w:rPr>
          <w:rFonts w:cstheme="minorHAnsi"/>
          <w:sz w:val="24"/>
          <w:szCs w:val="24"/>
        </w:rPr>
        <w:t>logging back in to complete the trip afterwards.</w:t>
      </w:r>
    </w:p>
    <w:bookmarkEnd w:id="1"/>
    <w:p w14:paraId="3A4E6E4F" w14:textId="77777777" w:rsidR="00E30F26" w:rsidRDefault="00E30F26" w:rsidP="009C7F39">
      <w:pPr>
        <w:spacing w:after="0"/>
        <w:rPr>
          <w:b/>
          <w:sz w:val="24"/>
          <w:szCs w:val="24"/>
        </w:rPr>
      </w:pPr>
    </w:p>
    <w:p w14:paraId="3DA60776" w14:textId="31613B45" w:rsidR="009C7F39" w:rsidRDefault="00416F7E" w:rsidP="009C7F39">
      <w:pPr>
        <w:spacing w:after="0"/>
        <w:rPr>
          <w:b/>
          <w:sz w:val="24"/>
          <w:szCs w:val="24"/>
        </w:rPr>
      </w:pPr>
      <w:r>
        <w:rPr>
          <w:b/>
          <w:sz w:val="24"/>
          <w:szCs w:val="24"/>
        </w:rPr>
        <w:t>Volunteer</w:t>
      </w:r>
      <w:r w:rsidR="00AF1344">
        <w:rPr>
          <w:b/>
          <w:sz w:val="24"/>
          <w:szCs w:val="24"/>
        </w:rPr>
        <w:t xml:space="preserve"> </w:t>
      </w:r>
      <w:r w:rsidR="005335AE">
        <w:rPr>
          <w:b/>
          <w:sz w:val="24"/>
          <w:szCs w:val="24"/>
        </w:rPr>
        <w:t xml:space="preserve">Eligibility and </w:t>
      </w:r>
      <w:r w:rsidR="00826890">
        <w:rPr>
          <w:b/>
          <w:sz w:val="24"/>
          <w:szCs w:val="24"/>
        </w:rPr>
        <w:t>T</w:t>
      </w:r>
      <w:r w:rsidR="005335AE">
        <w:rPr>
          <w:b/>
          <w:sz w:val="24"/>
          <w:szCs w:val="24"/>
        </w:rPr>
        <w:t>raining:</w:t>
      </w:r>
    </w:p>
    <w:p w14:paraId="3662C043" w14:textId="7CA38845" w:rsidR="006F1D7F" w:rsidRDefault="003932F9" w:rsidP="00AD0A2E">
      <w:pPr>
        <w:spacing w:after="0"/>
        <w:rPr>
          <w:sz w:val="24"/>
          <w:szCs w:val="24"/>
        </w:rPr>
      </w:pPr>
      <w:r w:rsidRPr="003932F9">
        <w:rPr>
          <w:sz w:val="24"/>
          <w:szCs w:val="24"/>
        </w:rPr>
        <w:t xml:space="preserve">Drivers must be at least 21 years of age, pass a criminal background check, hold a valid driver’s license and have a safe driving record. </w:t>
      </w:r>
      <w:r w:rsidR="000B17FF" w:rsidRPr="000B17FF">
        <w:rPr>
          <w:sz w:val="24"/>
          <w:szCs w:val="24"/>
        </w:rPr>
        <w:t>Volunteers are expected to provide at least one ride per month (</w:t>
      </w:r>
      <w:r w:rsidR="007A1934">
        <w:rPr>
          <w:sz w:val="24"/>
          <w:szCs w:val="24"/>
        </w:rPr>
        <w:t>three</w:t>
      </w:r>
      <w:r w:rsidR="00E06F0F" w:rsidRPr="000B17FF">
        <w:rPr>
          <w:sz w:val="24"/>
          <w:szCs w:val="24"/>
        </w:rPr>
        <w:t>-hour</w:t>
      </w:r>
      <w:r w:rsidR="000B17FF" w:rsidRPr="000B17FF">
        <w:rPr>
          <w:sz w:val="24"/>
          <w:szCs w:val="24"/>
        </w:rPr>
        <w:t xml:space="preserve"> commitment), but they have the flexibility to sign up for additional rides that fit into their schedule. </w:t>
      </w:r>
      <w:proofErr w:type="spellStart"/>
      <w:r w:rsidR="00326843" w:rsidRPr="00326843">
        <w:rPr>
          <w:sz w:val="24"/>
          <w:szCs w:val="24"/>
        </w:rPr>
        <w:t>SMiles</w:t>
      </w:r>
      <w:proofErr w:type="spellEnd"/>
      <w:r w:rsidR="00326843" w:rsidRPr="00326843">
        <w:rPr>
          <w:sz w:val="24"/>
          <w:szCs w:val="24"/>
        </w:rPr>
        <w:t xml:space="preserve"> drivers use their personal automobiles</w:t>
      </w:r>
      <w:r w:rsidR="007E4A32">
        <w:rPr>
          <w:sz w:val="24"/>
          <w:szCs w:val="24"/>
        </w:rPr>
        <w:t xml:space="preserve"> and</w:t>
      </w:r>
      <w:r w:rsidR="00326843" w:rsidRPr="00326843">
        <w:rPr>
          <w:sz w:val="24"/>
          <w:szCs w:val="24"/>
        </w:rPr>
        <w:t xml:space="preserve"> </w:t>
      </w:r>
      <w:r w:rsidR="007E4A32">
        <w:rPr>
          <w:sz w:val="24"/>
          <w:szCs w:val="24"/>
        </w:rPr>
        <w:t xml:space="preserve">their </w:t>
      </w:r>
      <w:r w:rsidR="006F1D7F">
        <w:rPr>
          <w:sz w:val="24"/>
          <w:szCs w:val="24"/>
        </w:rPr>
        <w:t xml:space="preserve">auto </w:t>
      </w:r>
      <w:r w:rsidR="00E30F26" w:rsidRPr="00E30F26">
        <w:rPr>
          <w:sz w:val="24"/>
          <w:szCs w:val="24"/>
        </w:rPr>
        <w:t>insurance</w:t>
      </w:r>
      <w:r w:rsidR="006F1D7F">
        <w:rPr>
          <w:sz w:val="24"/>
          <w:szCs w:val="24"/>
        </w:rPr>
        <w:t xml:space="preserve"> is primary. </w:t>
      </w:r>
      <w:r w:rsidR="006F1D7F" w:rsidRPr="006F1D7F">
        <w:rPr>
          <w:sz w:val="24"/>
          <w:szCs w:val="24"/>
        </w:rPr>
        <w:t xml:space="preserve">The </w:t>
      </w:r>
      <w:proofErr w:type="spellStart"/>
      <w:r w:rsidR="006F1D7F" w:rsidRPr="006F1D7F">
        <w:rPr>
          <w:sz w:val="24"/>
          <w:szCs w:val="24"/>
        </w:rPr>
        <w:t>SMiles</w:t>
      </w:r>
      <w:proofErr w:type="spellEnd"/>
      <w:r w:rsidR="006F1D7F" w:rsidRPr="006F1D7F">
        <w:rPr>
          <w:sz w:val="24"/>
          <w:szCs w:val="24"/>
        </w:rPr>
        <w:t xml:space="preserve"> program purchases excess medical and liability insurance through CIMA</w:t>
      </w:r>
      <w:r w:rsidR="006F1D7F">
        <w:rPr>
          <w:sz w:val="24"/>
          <w:szCs w:val="24"/>
        </w:rPr>
        <w:t xml:space="preserve"> </w:t>
      </w:r>
      <w:r w:rsidR="006F1D7F" w:rsidRPr="006F1D7F">
        <w:rPr>
          <w:sz w:val="24"/>
          <w:szCs w:val="24"/>
        </w:rPr>
        <w:t xml:space="preserve">for the volunteers. </w:t>
      </w:r>
      <w:r w:rsidR="007E4A32" w:rsidRPr="007E4A32">
        <w:rPr>
          <w:sz w:val="24"/>
          <w:szCs w:val="24"/>
        </w:rPr>
        <w:t xml:space="preserve">This insurance is secondary to a volunteer’s own medical insurance and automobile liability insurance policies. </w:t>
      </w:r>
      <w:r w:rsidR="006F1D7F" w:rsidRPr="006F1D7F">
        <w:rPr>
          <w:sz w:val="24"/>
          <w:szCs w:val="24"/>
        </w:rPr>
        <w:t xml:space="preserve">Drivers are not paid for their time; however, reimbursement for gas is offered.  </w:t>
      </w:r>
    </w:p>
    <w:p w14:paraId="0249182D" w14:textId="77777777" w:rsidR="006F1D7F" w:rsidRDefault="006F1D7F" w:rsidP="00AD0A2E">
      <w:pPr>
        <w:spacing w:after="0"/>
        <w:rPr>
          <w:sz w:val="24"/>
          <w:szCs w:val="24"/>
        </w:rPr>
      </w:pPr>
    </w:p>
    <w:p w14:paraId="247C3E0E" w14:textId="7DDB9C9F" w:rsidR="00127E69" w:rsidRPr="007569BC" w:rsidRDefault="00127E69" w:rsidP="007569BC">
      <w:pPr>
        <w:spacing w:after="0"/>
        <w:rPr>
          <w:sz w:val="24"/>
          <w:szCs w:val="24"/>
        </w:rPr>
      </w:pPr>
      <w:r w:rsidRPr="00127E69">
        <w:rPr>
          <w:sz w:val="24"/>
          <w:szCs w:val="24"/>
        </w:rPr>
        <w:t xml:space="preserve">Volunteers receive </w:t>
      </w:r>
      <w:r w:rsidR="000067E5">
        <w:rPr>
          <w:sz w:val="24"/>
          <w:szCs w:val="24"/>
        </w:rPr>
        <w:t>four</w:t>
      </w:r>
      <w:r w:rsidRPr="00127E69">
        <w:rPr>
          <w:sz w:val="24"/>
          <w:szCs w:val="24"/>
        </w:rPr>
        <w:t xml:space="preserve"> hours of training, which includes information on program policies and procedures as well as senior sensitivity training. Each volunteer receives a copy of the SMiles Volunteer Driver Handbook.</w:t>
      </w:r>
      <w:r w:rsidR="00933A12">
        <w:rPr>
          <w:sz w:val="24"/>
          <w:szCs w:val="24"/>
        </w:rPr>
        <w:t xml:space="preserve"> </w:t>
      </w:r>
      <w:r w:rsidR="007E4A32" w:rsidRPr="007E4A32">
        <w:rPr>
          <w:sz w:val="24"/>
          <w:szCs w:val="24"/>
        </w:rPr>
        <w:t>Assisted Rides software training is also provided to each driver.</w:t>
      </w:r>
    </w:p>
    <w:p w14:paraId="082F1FF3" w14:textId="091F1BF9" w:rsidR="009C7F39" w:rsidRDefault="009C7F39" w:rsidP="009C7F39">
      <w:pPr>
        <w:spacing w:after="0"/>
        <w:rPr>
          <w:sz w:val="24"/>
          <w:szCs w:val="24"/>
        </w:rPr>
      </w:pPr>
    </w:p>
    <w:p w14:paraId="0980CFA4" w14:textId="1BE4EB06" w:rsidR="00B704DE" w:rsidRPr="00B704DE" w:rsidRDefault="00B704DE" w:rsidP="009C7F39">
      <w:pPr>
        <w:spacing w:after="0"/>
        <w:rPr>
          <w:b/>
          <w:sz w:val="24"/>
          <w:szCs w:val="24"/>
        </w:rPr>
      </w:pPr>
      <w:r w:rsidRPr="00B704DE">
        <w:rPr>
          <w:b/>
          <w:sz w:val="24"/>
          <w:szCs w:val="24"/>
        </w:rPr>
        <w:t>Volunteer Recruitment:</w:t>
      </w:r>
    </w:p>
    <w:p w14:paraId="37BD91D5" w14:textId="609C2F3B" w:rsidR="009C7F39" w:rsidRPr="007569BC" w:rsidRDefault="009C7F39" w:rsidP="009C7F39">
      <w:pPr>
        <w:rPr>
          <w:sz w:val="24"/>
          <w:szCs w:val="24"/>
        </w:rPr>
      </w:pPr>
      <w:r w:rsidRPr="007569BC">
        <w:rPr>
          <w:rFonts w:cs="Times New Roman"/>
          <w:sz w:val="24"/>
          <w:szCs w:val="24"/>
        </w:rPr>
        <w:t>The SMiles program is staffed with a</w:t>
      </w:r>
      <w:r w:rsidRPr="007569BC">
        <w:rPr>
          <w:sz w:val="24"/>
          <w:szCs w:val="24"/>
        </w:rPr>
        <w:t xml:space="preserve"> full-time manager and a director who assists with marketing</w:t>
      </w:r>
      <w:r w:rsidR="006C4A74">
        <w:rPr>
          <w:sz w:val="24"/>
          <w:szCs w:val="24"/>
        </w:rPr>
        <w:t xml:space="preserve"> through events, presentations and media. </w:t>
      </w:r>
      <w:r w:rsidRPr="007569BC">
        <w:rPr>
          <w:sz w:val="24"/>
          <w:szCs w:val="24"/>
        </w:rPr>
        <w:t xml:space="preserve">Word of mouth is the key to the program’s success and area partners such as the Chamber of Commerce, retirement communities and physicians’ offices help spread the word. However, seniors themselves are </w:t>
      </w:r>
      <w:r w:rsidRPr="007569BC">
        <w:rPr>
          <w:sz w:val="24"/>
          <w:szCs w:val="24"/>
        </w:rPr>
        <w:lastRenderedPageBreak/>
        <w:t xml:space="preserve">the program’s biggest advocates. Seniors spread the word about SMiles at doctor’s offices and other places they frequent. </w:t>
      </w:r>
      <w:r w:rsidR="006E73AE" w:rsidRPr="006E73AE">
        <w:rPr>
          <w:sz w:val="24"/>
          <w:szCs w:val="24"/>
        </w:rPr>
        <w:t xml:space="preserve">Volunteers are also great </w:t>
      </w:r>
      <w:r w:rsidR="007D1BB1">
        <w:rPr>
          <w:sz w:val="24"/>
          <w:szCs w:val="24"/>
        </w:rPr>
        <w:t>ambassadors</w:t>
      </w:r>
      <w:r w:rsidR="007D1BB1" w:rsidRPr="006E73AE">
        <w:rPr>
          <w:sz w:val="24"/>
          <w:szCs w:val="24"/>
        </w:rPr>
        <w:t xml:space="preserve"> </w:t>
      </w:r>
      <w:r w:rsidR="006E73AE" w:rsidRPr="006E73AE">
        <w:rPr>
          <w:sz w:val="24"/>
          <w:szCs w:val="24"/>
        </w:rPr>
        <w:t xml:space="preserve">of the </w:t>
      </w:r>
      <w:r w:rsidR="007D1BB1">
        <w:rPr>
          <w:sz w:val="24"/>
          <w:szCs w:val="24"/>
        </w:rPr>
        <w:t xml:space="preserve">SMiles </w:t>
      </w:r>
      <w:r w:rsidR="006E73AE" w:rsidRPr="006E73AE">
        <w:rPr>
          <w:sz w:val="24"/>
          <w:szCs w:val="24"/>
        </w:rPr>
        <w:t>program.</w:t>
      </w:r>
    </w:p>
    <w:p w14:paraId="242407D8" w14:textId="2C9C61AA" w:rsidR="007E4A32" w:rsidRDefault="003B66F3" w:rsidP="007E4A32">
      <w:pPr>
        <w:spacing w:after="0"/>
        <w:rPr>
          <w:sz w:val="24"/>
          <w:szCs w:val="24"/>
        </w:rPr>
      </w:pPr>
      <w:r w:rsidRPr="007569BC">
        <w:rPr>
          <w:b/>
          <w:sz w:val="24"/>
          <w:szCs w:val="24"/>
        </w:rPr>
        <w:t>F</w:t>
      </w:r>
      <w:r w:rsidR="00A61AB7" w:rsidRPr="007569BC">
        <w:rPr>
          <w:b/>
          <w:sz w:val="24"/>
          <w:szCs w:val="24"/>
        </w:rPr>
        <w:t>unding:</w:t>
      </w:r>
      <w:r w:rsidR="005203B3" w:rsidRPr="007569BC">
        <w:rPr>
          <w:b/>
          <w:sz w:val="24"/>
          <w:szCs w:val="24"/>
        </w:rPr>
        <w:t xml:space="preserve"> </w:t>
      </w:r>
      <w:r w:rsidR="007340EA">
        <w:rPr>
          <w:b/>
          <w:sz w:val="24"/>
          <w:szCs w:val="24"/>
        </w:rPr>
        <w:t xml:space="preserve"> </w:t>
      </w:r>
      <w:r w:rsidR="002D0CFA" w:rsidRPr="002D0CFA">
        <w:rPr>
          <w:sz w:val="24"/>
          <w:szCs w:val="24"/>
        </w:rPr>
        <w:t>SMiles</w:t>
      </w:r>
      <w:r w:rsidR="007340EA">
        <w:rPr>
          <w:sz w:val="24"/>
          <w:szCs w:val="24"/>
        </w:rPr>
        <w:t xml:space="preserve"> received their startup support through </w:t>
      </w:r>
      <w:r w:rsidR="002D0CFA" w:rsidRPr="002D0CFA">
        <w:rPr>
          <w:sz w:val="24"/>
          <w:szCs w:val="24"/>
        </w:rPr>
        <w:t>New Freedom funds</w:t>
      </w:r>
      <w:r w:rsidR="006C1FB6">
        <w:rPr>
          <w:sz w:val="24"/>
          <w:szCs w:val="24"/>
        </w:rPr>
        <w:t xml:space="preserve">, administered by </w:t>
      </w:r>
      <w:r w:rsidR="00E30F26">
        <w:rPr>
          <w:sz w:val="24"/>
          <w:szCs w:val="24"/>
        </w:rPr>
        <w:t>the</w:t>
      </w:r>
      <w:r w:rsidR="006C1FB6">
        <w:rPr>
          <w:sz w:val="24"/>
          <w:szCs w:val="24"/>
        </w:rPr>
        <w:t>ir local</w:t>
      </w:r>
      <w:r w:rsidR="00E30F26" w:rsidRPr="00E30F26">
        <w:t xml:space="preserve"> </w:t>
      </w:r>
      <w:r w:rsidR="00E30F26" w:rsidRPr="00E30F26">
        <w:rPr>
          <w:sz w:val="24"/>
          <w:szCs w:val="24"/>
        </w:rPr>
        <w:t>regional transportation planning organization</w:t>
      </w:r>
      <w:r w:rsidR="006C1FB6">
        <w:rPr>
          <w:sz w:val="24"/>
          <w:szCs w:val="24"/>
        </w:rPr>
        <w:t xml:space="preserve">. In 2015, SMiles received three years of funding from </w:t>
      </w:r>
      <w:r w:rsidR="007D1BB1">
        <w:rPr>
          <w:sz w:val="24"/>
          <w:szCs w:val="24"/>
        </w:rPr>
        <w:t xml:space="preserve">the </w:t>
      </w:r>
      <w:r w:rsidR="006C1FB6">
        <w:rPr>
          <w:sz w:val="24"/>
          <w:szCs w:val="24"/>
        </w:rPr>
        <w:t xml:space="preserve">Federal Transit Administration and the Tennessee Department of Transportation. </w:t>
      </w:r>
      <w:r w:rsidR="007E4A32" w:rsidRPr="007E4A32">
        <w:rPr>
          <w:sz w:val="24"/>
          <w:szCs w:val="24"/>
        </w:rPr>
        <w:t>Additional funding comes from the local United Way, memberships, rider fees, annual fundrais</w:t>
      </w:r>
      <w:r w:rsidR="007D1BB1">
        <w:rPr>
          <w:sz w:val="24"/>
          <w:szCs w:val="24"/>
        </w:rPr>
        <w:t>ers</w:t>
      </w:r>
      <w:r w:rsidR="007E4A32" w:rsidRPr="007E4A32">
        <w:rPr>
          <w:sz w:val="24"/>
          <w:szCs w:val="24"/>
        </w:rPr>
        <w:t>, and donations</w:t>
      </w:r>
      <w:r w:rsidR="007E4A32">
        <w:rPr>
          <w:sz w:val="24"/>
          <w:szCs w:val="24"/>
        </w:rPr>
        <w:t>.</w:t>
      </w:r>
    </w:p>
    <w:p w14:paraId="63086258" w14:textId="77777777" w:rsidR="007E4A32" w:rsidRDefault="007E4A32" w:rsidP="007E4A32">
      <w:pPr>
        <w:spacing w:after="0"/>
        <w:rPr>
          <w:b/>
          <w:sz w:val="24"/>
          <w:szCs w:val="24"/>
        </w:rPr>
      </w:pPr>
    </w:p>
    <w:p w14:paraId="7F49C64A" w14:textId="77777777" w:rsidR="007E4A32" w:rsidRDefault="00A61AB7" w:rsidP="007E4A32">
      <w:pPr>
        <w:spacing w:after="0"/>
        <w:rPr>
          <w:b/>
          <w:sz w:val="24"/>
          <w:szCs w:val="24"/>
        </w:rPr>
      </w:pPr>
      <w:r w:rsidRPr="007569BC">
        <w:rPr>
          <w:b/>
          <w:sz w:val="24"/>
          <w:szCs w:val="24"/>
        </w:rPr>
        <w:t>Results:</w:t>
      </w:r>
      <w:r w:rsidR="00127E69">
        <w:rPr>
          <w:b/>
          <w:sz w:val="24"/>
          <w:szCs w:val="24"/>
        </w:rPr>
        <w:t xml:space="preserve"> </w:t>
      </w:r>
    </w:p>
    <w:p w14:paraId="3AA23494" w14:textId="065B70D5" w:rsidR="006F1D7F" w:rsidRDefault="006F1D7F" w:rsidP="007E4A32">
      <w:pPr>
        <w:spacing w:after="0"/>
        <w:rPr>
          <w:sz w:val="24"/>
          <w:szCs w:val="24"/>
        </w:rPr>
      </w:pPr>
      <w:r w:rsidRPr="00127E69">
        <w:rPr>
          <w:sz w:val="24"/>
          <w:szCs w:val="24"/>
        </w:rPr>
        <w:t>SMiles has provided over 2</w:t>
      </w:r>
      <w:r>
        <w:rPr>
          <w:sz w:val="24"/>
          <w:szCs w:val="24"/>
        </w:rPr>
        <w:t>7</w:t>
      </w:r>
      <w:r w:rsidRPr="00127E69">
        <w:rPr>
          <w:sz w:val="24"/>
          <w:szCs w:val="24"/>
        </w:rPr>
        <w:t>,000 trips to medical appointments, supermarkets, and social events</w:t>
      </w:r>
      <w:r>
        <w:rPr>
          <w:sz w:val="24"/>
          <w:szCs w:val="24"/>
        </w:rPr>
        <w:t xml:space="preserve"> since 2013. </w:t>
      </w:r>
      <w:r w:rsidRPr="004F7D4F">
        <w:rPr>
          <w:sz w:val="24"/>
          <w:szCs w:val="24"/>
        </w:rPr>
        <w:t>Over 50% were for medical services</w:t>
      </w:r>
      <w:r w:rsidR="007D1BB1">
        <w:rPr>
          <w:sz w:val="24"/>
          <w:szCs w:val="24"/>
        </w:rPr>
        <w:t xml:space="preserve"> and</w:t>
      </w:r>
      <w:r>
        <w:rPr>
          <w:sz w:val="24"/>
          <w:szCs w:val="24"/>
        </w:rPr>
        <w:t xml:space="preserve"> the remainder were trips to hair salons, grocery stores, banks, social gatherings and volunteer work. </w:t>
      </w:r>
      <w:r w:rsidRPr="004747C9">
        <w:rPr>
          <w:sz w:val="24"/>
          <w:szCs w:val="24"/>
        </w:rPr>
        <w:t>Currently, the SMiles program has 13</w:t>
      </w:r>
      <w:r>
        <w:rPr>
          <w:sz w:val="24"/>
          <w:szCs w:val="24"/>
        </w:rPr>
        <w:t>5</w:t>
      </w:r>
      <w:r w:rsidRPr="004747C9">
        <w:rPr>
          <w:sz w:val="24"/>
          <w:szCs w:val="24"/>
        </w:rPr>
        <w:t xml:space="preserve"> volunteer drivers (average age of 6</w:t>
      </w:r>
      <w:r>
        <w:rPr>
          <w:sz w:val="24"/>
          <w:szCs w:val="24"/>
        </w:rPr>
        <w:t>7</w:t>
      </w:r>
      <w:r w:rsidRPr="004747C9">
        <w:rPr>
          <w:sz w:val="24"/>
          <w:szCs w:val="24"/>
        </w:rPr>
        <w:t xml:space="preserve">) and </w:t>
      </w:r>
      <w:r>
        <w:rPr>
          <w:sz w:val="24"/>
          <w:szCs w:val="24"/>
        </w:rPr>
        <w:t>213</w:t>
      </w:r>
      <w:r w:rsidRPr="004747C9">
        <w:rPr>
          <w:sz w:val="24"/>
          <w:szCs w:val="24"/>
        </w:rPr>
        <w:t xml:space="preserve"> riders (average age of 8</w:t>
      </w:r>
      <w:r>
        <w:rPr>
          <w:sz w:val="24"/>
          <w:szCs w:val="24"/>
        </w:rPr>
        <w:t>1</w:t>
      </w:r>
      <w:r w:rsidRPr="004747C9">
        <w:rPr>
          <w:sz w:val="24"/>
          <w:szCs w:val="24"/>
        </w:rPr>
        <w:t>).</w:t>
      </w:r>
    </w:p>
    <w:p w14:paraId="012CE8CF" w14:textId="77777777" w:rsidR="006E73AE" w:rsidRDefault="006E73AE" w:rsidP="004747C9">
      <w:pPr>
        <w:rPr>
          <w:sz w:val="24"/>
          <w:szCs w:val="24"/>
        </w:rPr>
      </w:pPr>
    </w:p>
    <w:p w14:paraId="2751C722" w14:textId="6F7675A0" w:rsidR="004A1A99" w:rsidRDefault="006F1D7F" w:rsidP="004747C9">
      <w:pPr>
        <w:rPr>
          <w:rStyle w:val="Hyperlink"/>
          <w:sz w:val="24"/>
          <w:szCs w:val="24"/>
        </w:rPr>
      </w:pPr>
      <w:r w:rsidRPr="004747C9">
        <w:rPr>
          <w:sz w:val="24"/>
          <w:szCs w:val="24"/>
        </w:rPr>
        <w:t xml:space="preserve"> </w:t>
      </w:r>
      <w:r w:rsidR="002C7557" w:rsidRPr="007569BC">
        <w:rPr>
          <w:b/>
          <w:sz w:val="24"/>
          <w:szCs w:val="24"/>
        </w:rPr>
        <w:t>For additional information, c</w:t>
      </w:r>
      <w:r w:rsidR="0064004A" w:rsidRPr="007569BC">
        <w:rPr>
          <w:b/>
          <w:sz w:val="24"/>
          <w:szCs w:val="24"/>
        </w:rPr>
        <w:t>ontact:</w:t>
      </w:r>
      <w:r w:rsidR="0064004A" w:rsidRPr="007569BC">
        <w:rPr>
          <w:sz w:val="24"/>
          <w:szCs w:val="24"/>
        </w:rPr>
        <w:t xml:space="preserve"> </w:t>
      </w:r>
      <w:r w:rsidR="007A2FFA" w:rsidRPr="007569BC">
        <w:rPr>
          <w:sz w:val="24"/>
          <w:szCs w:val="24"/>
        </w:rPr>
        <w:t>J</w:t>
      </w:r>
      <w:r w:rsidR="00C26FF9">
        <w:rPr>
          <w:sz w:val="24"/>
          <w:szCs w:val="24"/>
        </w:rPr>
        <w:t>oani</w:t>
      </w:r>
      <w:r w:rsidR="007A2FFA" w:rsidRPr="007569BC">
        <w:rPr>
          <w:sz w:val="24"/>
          <w:szCs w:val="24"/>
        </w:rPr>
        <w:t xml:space="preserve"> Shaver,</w:t>
      </w:r>
      <w:r w:rsidR="00EA53F7">
        <w:rPr>
          <w:sz w:val="24"/>
          <w:szCs w:val="24"/>
        </w:rPr>
        <w:t xml:space="preserve"> Director,</w:t>
      </w:r>
      <w:r w:rsidR="007A2FFA" w:rsidRPr="007569BC">
        <w:rPr>
          <w:sz w:val="24"/>
          <w:szCs w:val="24"/>
        </w:rPr>
        <w:t xml:space="preserve">  Blount County Community Action Agency. Email: </w:t>
      </w:r>
      <w:hyperlink r:id="rId12" w:history="1">
        <w:r w:rsidR="007A2FFA" w:rsidRPr="007569BC">
          <w:rPr>
            <w:rStyle w:val="Hyperlink"/>
            <w:sz w:val="24"/>
            <w:szCs w:val="24"/>
          </w:rPr>
          <w:t>jshaver@blountcaa.org</w:t>
        </w:r>
      </w:hyperlink>
      <w:r w:rsidR="007A2FFA" w:rsidRPr="007569BC">
        <w:rPr>
          <w:sz w:val="24"/>
          <w:szCs w:val="24"/>
        </w:rPr>
        <w:t xml:space="preserve">. Agency website: </w:t>
      </w:r>
      <w:hyperlink r:id="rId13" w:history="1">
        <w:r w:rsidR="007A2FFA" w:rsidRPr="007569BC">
          <w:rPr>
            <w:rStyle w:val="Hyperlink"/>
            <w:sz w:val="24"/>
            <w:szCs w:val="24"/>
          </w:rPr>
          <w:t>www.blountcaa.org</w:t>
        </w:r>
      </w:hyperlink>
    </w:p>
    <w:p w14:paraId="3C7A51EF" w14:textId="7D044616" w:rsidR="007A2FFA" w:rsidRPr="00F318E0" w:rsidRDefault="00F318E0" w:rsidP="00F318E0">
      <w:pPr>
        <w:rPr>
          <w:i/>
          <w:sz w:val="20"/>
          <w:szCs w:val="20"/>
        </w:rPr>
      </w:pPr>
      <w:r w:rsidRPr="00F318E0">
        <w:rPr>
          <w:i/>
          <w:sz w:val="20"/>
          <w:szCs w:val="20"/>
        </w:rPr>
        <w:t>Photo courtesy of Blount County Community Action Agency’s Office on Aging, Blount County, TN</w:t>
      </w:r>
    </w:p>
    <w:p w14:paraId="33594450" w14:textId="461F2262" w:rsidR="00046AA4" w:rsidRPr="007569BC" w:rsidRDefault="002C50C4" w:rsidP="004B6D0E">
      <w:pPr>
        <w:spacing w:after="0"/>
        <w:rPr>
          <w:sz w:val="24"/>
          <w:szCs w:val="24"/>
        </w:rPr>
      </w:pPr>
      <w:r>
        <w:rPr>
          <w:noProof/>
        </w:rPr>
        <w:drawing>
          <wp:inline distT="0" distB="0" distL="0" distR="0" wp14:anchorId="3376D907" wp14:editId="7170A9B2">
            <wp:extent cx="5943600"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divi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97180"/>
                    </a:xfrm>
                    <a:prstGeom prst="rect">
                      <a:avLst/>
                    </a:prstGeom>
                  </pic:spPr>
                </pic:pic>
              </a:graphicData>
            </a:graphic>
          </wp:inline>
        </w:drawing>
      </w:r>
    </w:p>
    <w:p w14:paraId="464D0844" w14:textId="77777777" w:rsidR="00EA2EBF" w:rsidRPr="009F72B9" w:rsidRDefault="00EA2EBF" w:rsidP="00EA2EBF">
      <w:pPr>
        <w:rPr>
          <w:rFonts w:ascii="Calibri" w:hAnsi="Calibri"/>
          <w:b/>
          <w:color w:val="022B4C"/>
          <w:sz w:val="36"/>
          <w:szCs w:val="36"/>
        </w:rPr>
      </w:pPr>
      <w:r>
        <w:rPr>
          <w:rFonts w:ascii="Calibri" w:hAnsi="Calibri"/>
          <w:b/>
          <w:color w:val="022B4C"/>
          <w:sz w:val="36"/>
          <w:szCs w:val="36"/>
        </w:rPr>
        <w:t>Who We Are</w:t>
      </w:r>
    </w:p>
    <w:p w14:paraId="1442EE20" w14:textId="77777777" w:rsidR="00EA2EBF" w:rsidRPr="00DE589C" w:rsidRDefault="00EA2EBF" w:rsidP="00EA2EBF">
      <w:pPr>
        <w:spacing w:after="0" w:line="240" w:lineRule="auto"/>
        <w:rPr>
          <w:rFonts w:ascii="Palatino Linotype" w:hAnsi="Palatino Linotype"/>
          <w:sz w:val="20"/>
          <w:szCs w:val="20"/>
        </w:rPr>
      </w:pPr>
      <w:r w:rsidRPr="00DE589C">
        <w:rPr>
          <w:rFonts w:ascii="Palatino Linotype" w:hAnsi="Palatino Linotype"/>
          <w:sz w:val="20"/>
          <w:szCs w:val="20"/>
        </w:rPr>
        <w:t xml:space="preserve">The </w:t>
      </w:r>
      <w:r w:rsidRPr="00DE589C">
        <w:rPr>
          <w:rFonts w:ascii="Palatino Linotype" w:hAnsi="Palatino Linotype"/>
          <w:b/>
          <w:bCs/>
          <w:color w:val="022B4C"/>
          <w:sz w:val="20"/>
          <w:szCs w:val="20"/>
        </w:rPr>
        <w:t>National Aging and Disability Transportation Center</w:t>
      </w:r>
      <w:r w:rsidRPr="00DE589C">
        <w:rPr>
          <w:rFonts w:ascii="Palatino Linotype" w:hAnsi="Palatino Linotype"/>
          <w:sz w:val="20"/>
          <w:szCs w:val="20"/>
        </w:rPr>
        <w:t xml:space="preserve"> is funded through a cooperative agreement of Easterseals, the National Association of Area Agencies on Aging, and the U.S Department of Transportation, Federal Transit Administration, with guidance from the U.S. Department of Health and Human Services, Administration for Community Living.</w:t>
      </w:r>
    </w:p>
    <w:p w14:paraId="66B5F7CC" w14:textId="77777777" w:rsidR="00EA2EBF" w:rsidRPr="00DE589C" w:rsidRDefault="00EA2EBF" w:rsidP="00EA2EBF">
      <w:pPr>
        <w:spacing w:after="0" w:line="240" w:lineRule="auto"/>
        <w:rPr>
          <w:rFonts w:ascii="Palatino Linotype" w:hAnsi="Palatino Linotype"/>
          <w:sz w:val="20"/>
          <w:szCs w:val="20"/>
        </w:rPr>
      </w:pPr>
    </w:p>
    <w:p w14:paraId="6DF03375" w14:textId="77777777" w:rsidR="00EA2EBF" w:rsidRPr="00DE589C" w:rsidRDefault="00EA2EBF" w:rsidP="00EA2EBF">
      <w:pPr>
        <w:spacing w:after="0" w:line="240" w:lineRule="auto"/>
        <w:rPr>
          <w:rFonts w:ascii="Palatino Linotype" w:hAnsi="Palatino Linotype"/>
          <w:b/>
          <w:bCs/>
          <w:sz w:val="20"/>
          <w:szCs w:val="20"/>
        </w:rPr>
      </w:pPr>
      <w:r w:rsidRPr="00DE589C">
        <w:rPr>
          <w:rFonts w:ascii="Palatino Linotype" w:hAnsi="Palatino Linotype"/>
          <w:sz w:val="20"/>
          <w:szCs w:val="20"/>
        </w:rPr>
        <w:t xml:space="preserve">The </w:t>
      </w:r>
      <w:r w:rsidRPr="00DE589C">
        <w:rPr>
          <w:rFonts w:ascii="Palatino Linotype" w:hAnsi="Palatino Linotype"/>
          <w:b/>
          <w:bCs/>
          <w:color w:val="022B4C"/>
          <w:sz w:val="20"/>
          <w:szCs w:val="20"/>
        </w:rPr>
        <w:t>National Association of Area Agencies on Aging (n4a)</w:t>
      </w:r>
      <w:r w:rsidRPr="00DE589C">
        <w:rPr>
          <w:rFonts w:ascii="Palatino Linotype" w:hAnsi="Palatino Linotype"/>
          <w:b/>
          <w:bCs/>
          <w:sz w:val="20"/>
          <w:szCs w:val="20"/>
        </w:rPr>
        <w:t xml:space="preserve"> </w:t>
      </w:r>
      <w:r w:rsidRPr="00DE589C">
        <w:rPr>
          <w:rFonts w:ascii="Palatino Linotype" w:hAnsi="Palatino Linotype"/>
          <w:sz w:val="20"/>
          <w:szCs w:val="20"/>
        </w:rPr>
        <w:t>is a 501</w:t>
      </w:r>
      <w:proofErr w:type="gramStart"/>
      <w:r w:rsidRPr="00DE589C">
        <w:rPr>
          <w:rFonts w:ascii="Palatino Linotype" w:hAnsi="Palatino Linotype"/>
          <w:sz w:val="20"/>
          <w:szCs w:val="20"/>
        </w:rPr>
        <w:t>c(</w:t>
      </w:r>
      <w:proofErr w:type="gramEnd"/>
      <w:r w:rsidRPr="00DE589C">
        <w:rPr>
          <w:rFonts w:ascii="Palatino Linotype" w:hAnsi="Palatino Linotype"/>
          <w:sz w:val="20"/>
          <w:szCs w:val="20"/>
        </w:rPr>
        <w:t xml:space="preserve">3) membership association representing America’s national network of 622 Area Agencies on Aging (AAAs) and providing a voice in the nation’s capital for the 256 Title VI Native American aging programs. The mission of n4a is to build the capacity of its members so they can better help older adults and people with disabilities live with dignity and choices in their homes and communities for as long as possible. </w:t>
      </w:r>
      <w:hyperlink r:id="rId15" w:history="1">
        <w:r w:rsidRPr="00DE589C">
          <w:rPr>
            <w:rStyle w:val="Hyperlink"/>
            <w:rFonts w:ascii="Palatino Linotype" w:hAnsi="Palatino Linotype"/>
            <w:b/>
            <w:bCs/>
            <w:sz w:val="20"/>
            <w:szCs w:val="20"/>
          </w:rPr>
          <w:t>www.n4a.org</w:t>
        </w:r>
      </w:hyperlink>
    </w:p>
    <w:p w14:paraId="32F3145A" w14:textId="77777777" w:rsidR="00EA2EBF" w:rsidRPr="00DE589C" w:rsidRDefault="00EA2EBF" w:rsidP="00EA2EBF">
      <w:pPr>
        <w:spacing w:after="0" w:line="240" w:lineRule="auto"/>
        <w:rPr>
          <w:rFonts w:ascii="Palatino Linotype" w:hAnsi="Palatino Linotype"/>
          <w:sz w:val="20"/>
          <w:szCs w:val="20"/>
        </w:rPr>
      </w:pPr>
      <w:r w:rsidRPr="00DE589C">
        <w:rPr>
          <w:rFonts w:ascii="Palatino Linotype" w:hAnsi="Palatino Linotype"/>
          <w:sz w:val="20"/>
          <w:szCs w:val="20"/>
        </w:rPr>
        <w:t xml:space="preserve"> </w:t>
      </w:r>
    </w:p>
    <w:p w14:paraId="32609C7C" w14:textId="033A961C" w:rsidR="00EA2EBF" w:rsidRPr="00DE589C" w:rsidRDefault="00EA2EBF" w:rsidP="00EA2EBF">
      <w:pPr>
        <w:spacing w:after="0" w:line="240" w:lineRule="auto"/>
        <w:rPr>
          <w:rStyle w:val="Hyperlink"/>
          <w:rFonts w:ascii="Palatino Linotype" w:hAnsi="Palatino Linotype"/>
          <w:b/>
          <w:bCs/>
          <w:sz w:val="20"/>
          <w:szCs w:val="20"/>
        </w:rPr>
      </w:pPr>
      <w:r w:rsidRPr="00DE589C">
        <w:rPr>
          <w:rFonts w:ascii="Palatino Linotype" w:hAnsi="Palatino Linotype"/>
          <w:b/>
          <w:bCs/>
          <w:color w:val="022B4C"/>
          <w:sz w:val="20"/>
          <w:szCs w:val="20"/>
        </w:rPr>
        <w:t>Easterseals</w:t>
      </w:r>
      <w:r w:rsidRPr="00DE589C">
        <w:rPr>
          <w:rFonts w:ascii="Palatino Linotype" w:hAnsi="Palatino Linotype"/>
          <w:sz w:val="20"/>
          <w:szCs w:val="20"/>
        </w:rPr>
        <w:t xml:space="preserve"> is the leading non-profit provider of services for individuals with autism, developmental disabilities, physical disabilities and other special needs. For nearly 100 years, we have been offering help, hope, and answers to children and adults living with disabilities, and to the families who love them. Through therapy, training, education and support services, Easterseals creates life-changing solutions so that people with disabilities can live, learn, work and play. </w:t>
      </w:r>
      <w:r w:rsidRPr="00DE589C">
        <w:rPr>
          <w:rFonts w:ascii="Palatino Linotype" w:hAnsi="Palatino Linotype"/>
          <w:b/>
          <w:bCs/>
          <w:sz w:val="20"/>
          <w:szCs w:val="20"/>
        </w:rPr>
        <w:fldChar w:fldCharType="begin"/>
      </w:r>
      <w:r w:rsidRPr="00DE589C">
        <w:rPr>
          <w:rFonts w:ascii="Palatino Linotype" w:hAnsi="Palatino Linotype"/>
          <w:b/>
          <w:bCs/>
          <w:sz w:val="20"/>
          <w:szCs w:val="20"/>
        </w:rPr>
        <w:instrText xml:space="preserve"> HYPERLINK "http://www.easterseals.com/" </w:instrText>
      </w:r>
      <w:r w:rsidRPr="00DE589C">
        <w:rPr>
          <w:rFonts w:ascii="Palatino Linotype" w:hAnsi="Palatino Linotype"/>
          <w:b/>
          <w:bCs/>
          <w:sz w:val="20"/>
          <w:szCs w:val="20"/>
        </w:rPr>
        <w:fldChar w:fldCharType="separate"/>
      </w:r>
      <w:r w:rsidRPr="00DE589C">
        <w:rPr>
          <w:rStyle w:val="Hyperlink"/>
          <w:rFonts w:ascii="Palatino Linotype" w:hAnsi="Palatino Linotype"/>
          <w:b/>
          <w:bCs/>
          <w:sz w:val="20"/>
          <w:szCs w:val="20"/>
        </w:rPr>
        <w:t xml:space="preserve">www.easterseals.com </w:t>
      </w:r>
    </w:p>
    <w:p w14:paraId="5A228EA4" w14:textId="0C717CD9" w:rsidR="00EA2EBF" w:rsidRDefault="00EA2EBF" w:rsidP="00EA2EBF">
      <w:pPr>
        <w:spacing w:after="0" w:line="240" w:lineRule="auto"/>
        <w:rPr>
          <w:rFonts w:ascii="Palatino Linotype" w:hAnsi="Palatino Linotype"/>
          <w:b/>
          <w:bCs/>
          <w:sz w:val="16"/>
          <w:szCs w:val="20"/>
        </w:rPr>
      </w:pPr>
      <w:r w:rsidRPr="00DE589C">
        <w:rPr>
          <w:rFonts w:ascii="Palatino Linotype" w:hAnsi="Palatino Linotype"/>
          <w:b/>
          <w:bCs/>
          <w:sz w:val="20"/>
          <w:szCs w:val="20"/>
        </w:rPr>
        <w:fldChar w:fldCharType="end"/>
      </w:r>
      <w:r>
        <w:rPr>
          <w:rFonts w:ascii="Palatino Linotype" w:hAnsi="Palatino Linotype"/>
          <w:b/>
          <w:bCs/>
          <w:sz w:val="16"/>
          <w:szCs w:val="20"/>
        </w:rPr>
        <w:t xml:space="preserve"> </w:t>
      </w:r>
    </w:p>
    <w:p w14:paraId="43EB82BA" w14:textId="444D5271" w:rsidR="00EA2EBF" w:rsidRDefault="000067E5" w:rsidP="00EA2EBF">
      <w:pPr>
        <w:spacing w:after="0" w:line="240" w:lineRule="auto"/>
        <w:rPr>
          <w:rFonts w:ascii="Palatino Linotype" w:hAnsi="Palatino Linotype"/>
          <w:sz w:val="16"/>
          <w:szCs w:val="20"/>
        </w:rPr>
      </w:pPr>
      <w:r>
        <w:rPr>
          <w:noProof/>
          <w:szCs w:val="24"/>
        </w:rPr>
        <w:lastRenderedPageBreak/>
        <w:drawing>
          <wp:anchor distT="0" distB="0" distL="114300" distR="114300" simplePos="0" relativeHeight="251664384" behindDoc="0" locked="0" layoutInCell="1" allowOverlap="1" wp14:anchorId="5E9D8D74" wp14:editId="5A6850C4">
            <wp:simplePos x="0" y="0"/>
            <wp:positionH relativeFrom="margin">
              <wp:posOffset>251460</wp:posOffset>
            </wp:positionH>
            <wp:positionV relativeFrom="paragraph">
              <wp:posOffset>89535</wp:posOffset>
            </wp:positionV>
            <wp:extent cx="1577340" cy="1169035"/>
            <wp:effectExtent l="0" t="0" r="3810" b="0"/>
            <wp:wrapThrough wrapText="bothSides">
              <wp:wrapPolygon edited="0">
                <wp:start x="0" y="0"/>
                <wp:lineTo x="0" y="21119"/>
                <wp:lineTo x="21391" y="21119"/>
                <wp:lineTo x="213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Lockup_3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7340" cy="1169035"/>
                    </a:xfrm>
                    <a:prstGeom prst="rect">
                      <a:avLst/>
                    </a:prstGeom>
                  </pic:spPr>
                </pic:pic>
              </a:graphicData>
            </a:graphic>
            <wp14:sizeRelH relativeFrom="page">
              <wp14:pctWidth>0</wp14:pctWidth>
            </wp14:sizeRelH>
            <wp14:sizeRelV relativeFrom="page">
              <wp14:pctHeight>0</wp14:pctHeight>
            </wp14:sizeRelV>
          </wp:anchor>
        </w:drawing>
      </w:r>
    </w:p>
    <w:p w14:paraId="2E94725F" w14:textId="2DA23EBB" w:rsidR="00F15397" w:rsidRPr="00F15397" w:rsidRDefault="00F15397" w:rsidP="00F15397">
      <w:pPr>
        <w:spacing w:after="0" w:line="240" w:lineRule="auto"/>
        <w:ind w:firstLine="720"/>
        <w:rPr>
          <w:rFonts w:ascii="Calibri" w:hAnsi="Calibri"/>
          <w:sz w:val="20"/>
          <w:szCs w:val="20"/>
        </w:rPr>
      </w:pPr>
      <w:r w:rsidRPr="00F15397">
        <w:rPr>
          <w:rFonts w:ascii="Calibri" w:hAnsi="Calibri"/>
          <w:b/>
          <w:bCs/>
          <w:color w:val="022B4C"/>
          <w:sz w:val="20"/>
          <w:szCs w:val="20"/>
        </w:rPr>
        <w:t>Call toll-free:</w:t>
      </w:r>
      <w:r w:rsidRPr="00F15397">
        <w:rPr>
          <w:rFonts w:ascii="Calibri" w:hAnsi="Calibri"/>
          <w:b/>
          <w:bCs/>
          <w:sz w:val="20"/>
          <w:szCs w:val="20"/>
        </w:rPr>
        <w:t xml:space="preserve"> </w:t>
      </w:r>
      <w:r w:rsidRPr="00F15397">
        <w:rPr>
          <w:rFonts w:ascii="Calibri" w:hAnsi="Calibri"/>
          <w:sz w:val="20"/>
          <w:szCs w:val="20"/>
        </w:rPr>
        <w:t>866.9</w:t>
      </w:r>
      <w:bookmarkStart w:id="2" w:name="_GoBack"/>
      <w:bookmarkEnd w:id="2"/>
      <w:r w:rsidRPr="00F15397">
        <w:rPr>
          <w:rFonts w:ascii="Calibri" w:hAnsi="Calibri"/>
          <w:sz w:val="20"/>
          <w:szCs w:val="20"/>
        </w:rPr>
        <w:t>83.3222</w:t>
      </w:r>
      <w:r>
        <w:rPr>
          <w:rFonts w:ascii="Calibri" w:hAnsi="Calibri"/>
          <w:sz w:val="20"/>
          <w:szCs w:val="20"/>
        </w:rPr>
        <w:t xml:space="preserve">              </w:t>
      </w:r>
    </w:p>
    <w:p w14:paraId="0FF47663" w14:textId="469C2A2E" w:rsidR="00F15397" w:rsidRPr="00F15397" w:rsidRDefault="00F15397" w:rsidP="00F15397">
      <w:pPr>
        <w:spacing w:after="0" w:line="240" w:lineRule="auto"/>
        <w:ind w:firstLine="720"/>
        <w:rPr>
          <w:rFonts w:ascii="Calibri" w:hAnsi="Calibri"/>
          <w:color w:val="022B4C"/>
          <w:sz w:val="20"/>
          <w:szCs w:val="20"/>
        </w:rPr>
      </w:pPr>
      <w:r w:rsidRPr="00F15397">
        <w:rPr>
          <w:rFonts w:ascii="Calibri" w:hAnsi="Calibri"/>
          <w:b/>
          <w:bCs/>
          <w:color w:val="022B4C"/>
          <w:sz w:val="20"/>
          <w:szCs w:val="20"/>
        </w:rPr>
        <w:t>Email:</w:t>
      </w:r>
      <w:r w:rsidRPr="00F15397">
        <w:rPr>
          <w:rFonts w:ascii="Calibri" w:hAnsi="Calibri"/>
          <w:color w:val="022B4C"/>
          <w:sz w:val="20"/>
          <w:szCs w:val="20"/>
        </w:rPr>
        <w:t xml:space="preserve"> </w:t>
      </w:r>
      <w:r w:rsidRPr="00F15397">
        <w:rPr>
          <w:rFonts w:ascii="Calibri" w:hAnsi="Calibri"/>
          <w:sz w:val="20"/>
          <w:szCs w:val="20"/>
        </w:rPr>
        <w:t>contact@nadtc.org</w:t>
      </w:r>
    </w:p>
    <w:p w14:paraId="306E7F92" w14:textId="77777777" w:rsidR="00F15397" w:rsidRPr="00F15397" w:rsidRDefault="00F15397" w:rsidP="00F15397">
      <w:pPr>
        <w:spacing w:after="0" w:line="240" w:lineRule="auto"/>
        <w:ind w:firstLine="720"/>
        <w:rPr>
          <w:rFonts w:ascii="Calibri" w:hAnsi="Calibri"/>
          <w:sz w:val="20"/>
          <w:szCs w:val="20"/>
        </w:rPr>
      </w:pPr>
      <w:r w:rsidRPr="00F15397">
        <w:rPr>
          <w:rFonts w:ascii="Calibri" w:hAnsi="Calibri"/>
          <w:b/>
          <w:bCs/>
          <w:color w:val="022B4C"/>
          <w:sz w:val="20"/>
          <w:szCs w:val="20"/>
        </w:rPr>
        <w:t>Web:</w:t>
      </w:r>
      <w:r w:rsidRPr="00F15397">
        <w:rPr>
          <w:rFonts w:ascii="Calibri" w:hAnsi="Calibri"/>
          <w:b/>
          <w:bCs/>
          <w:sz w:val="20"/>
          <w:szCs w:val="20"/>
        </w:rPr>
        <w:t xml:space="preserve"> </w:t>
      </w:r>
      <w:hyperlink r:id="rId17" w:history="1">
        <w:r w:rsidRPr="00F15397">
          <w:rPr>
            <w:rStyle w:val="Hyperlink"/>
            <w:rFonts w:ascii="Calibri" w:hAnsi="Calibri"/>
            <w:sz w:val="20"/>
            <w:szCs w:val="20"/>
          </w:rPr>
          <w:t>www.nadtc.org</w:t>
        </w:r>
      </w:hyperlink>
    </w:p>
    <w:p w14:paraId="35D64E18" w14:textId="4A61BAD1" w:rsidR="00EA2EBF" w:rsidRPr="00F15397" w:rsidRDefault="00EA2EBF" w:rsidP="00EA2EBF">
      <w:pPr>
        <w:spacing w:after="0" w:line="240" w:lineRule="auto"/>
        <w:rPr>
          <w:rFonts w:ascii="Palatino Linotype" w:hAnsi="Palatino Linotype"/>
          <w:sz w:val="20"/>
          <w:szCs w:val="20"/>
        </w:rPr>
      </w:pPr>
    </w:p>
    <w:p w14:paraId="5DAECB40" w14:textId="421EC245" w:rsidR="00F15397" w:rsidRPr="00F15397" w:rsidRDefault="00F15397" w:rsidP="00F15397">
      <w:pPr>
        <w:spacing w:after="0" w:line="240" w:lineRule="auto"/>
        <w:ind w:firstLine="720"/>
        <w:rPr>
          <w:rFonts w:ascii="Calibri" w:hAnsi="Calibri"/>
          <w:sz w:val="20"/>
          <w:szCs w:val="20"/>
        </w:rPr>
      </w:pPr>
      <w:r w:rsidRPr="00F15397">
        <w:rPr>
          <w:rFonts w:ascii="Calibri" w:hAnsi="Calibri"/>
          <w:b/>
          <w:bCs/>
          <w:color w:val="022B4C"/>
          <w:sz w:val="20"/>
          <w:szCs w:val="20"/>
        </w:rPr>
        <w:t xml:space="preserve">Find us </w:t>
      </w:r>
      <w:r w:rsidRPr="00F15397">
        <w:rPr>
          <w:rFonts w:ascii="Calibri" w:hAnsi="Calibri"/>
          <w:sz w:val="20"/>
          <w:szCs w:val="20"/>
        </w:rPr>
        <w:t xml:space="preserve">on Facebook, Twitter, YouTube &amp; LinkedIn! </w:t>
      </w:r>
    </w:p>
    <w:p w14:paraId="3F600814" w14:textId="74360561" w:rsidR="00EA2EBF" w:rsidRPr="006A4394" w:rsidRDefault="00EA2EBF" w:rsidP="00DB453B">
      <w:pPr>
        <w:spacing w:after="0" w:line="240" w:lineRule="auto"/>
        <w:jc w:val="center"/>
        <w:rPr>
          <w:rFonts w:ascii="Palatino Linotype" w:hAnsi="Palatino Linotype"/>
          <w:sz w:val="16"/>
          <w:szCs w:val="20"/>
        </w:rPr>
        <w:sectPr w:rsidR="00EA2EBF" w:rsidRPr="006A4394" w:rsidSect="00F760E4">
          <w:footerReference w:type="default" r:id="rId18"/>
          <w:pgSz w:w="12240" w:h="15840"/>
          <w:pgMar w:top="1440" w:right="1440" w:bottom="1440" w:left="1440" w:header="720" w:footer="720" w:gutter="0"/>
          <w:cols w:space="720"/>
          <w:docGrid w:linePitch="360"/>
        </w:sectPr>
      </w:pPr>
    </w:p>
    <w:p w14:paraId="39CDD401" w14:textId="310FA25D" w:rsidR="002078F9" w:rsidRDefault="000067E5" w:rsidP="00DB453B">
      <w:pPr>
        <w:spacing w:after="0" w:line="240" w:lineRule="auto"/>
        <w:rPr>
          <w:rFonts w:ascii="Calibri" w:hAnsi="Calibri"/>
          <w:b/>
          <w:bCs/>
          <w:color w:val="022B4C"/>
          <w:sz w:val="32"/>
          <w:szCs w:val="32"/>
        </w:rPr>
      </w:pPr>
      <w:bookmarkStart w:id="3" w:name="_MacBuGuideStaticData_6820H"/>
      <w:bookmarkEnd w:id="3"/>
      <w:r w:rsidRPr="00F15397">
        <w:rPr>
          <w:rFonts w:ascii="Calibri" w:hAnsi="Calibri"/>
          <w:noProof/>
          <w:sz w:val="20"/>
          <w:szCs w:val="20"/>
        </w:rPr>
        <w:drawing>
          <wp:anchor distT="0" distB="0" distL="114300" distR="114300" simplePos="0" relativeHeight="251665408" behindDoc="0" locked="0" layoutInCell="1" allowOverlap="1" wp14:anchorId="1FABC5CE" wp14:editId="0F95BD23">
            <wp:simplePos x="0" y="0"/>
            <wp:positionH relativeFrom="column">
              <wp:posOffset>2514600</wp:posOffset>
            </wp:positionH>
            <wp:positionV relativeFrom="paragraph">
              <wp:posOffset>136525</wp:posOffset>
            </wp:positionV>
            <wp:extent cx="1311275" cy="253365"/>
            <wp:effectExtent l="0" t="0" r="3175" b="0"/>
            <wp:wrapThrough wrapText="bothSides">
              <wp:wrapPolygon edited="0">
                <wp:start x="0" y="0"/>
                <wp:lineTo x="0" y="19489"/>
                <wp:lineTo x="21338" y="19489"/>
                <wp:lineTo x="213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SocialMedia_Icon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1275" cy="253365"/>
                    </a:xfrm>
                    <a:prstGeom prst="rect">
                      <a:avLst/>
                    </a:prstGeom>
                  </pic:spPr>
                </pic:pic>
              </a:graphicData>
            </a:graphic>
            <wp14:sizeRelH relativeFrom="margin">
              <wp14:pctWidth>0</wp14:pctWidth>
            </wp14:sizeRelH>
          </wp:anchor>
        </w:drawing>
      </w:r>
    </w:p>
    <w:sectPr w:rsidR="002078F9" w:rsidSect="00AC4D9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09BB" w14:textId="77777777" w:rsidR="000E1521" w:rsidRDefault="000E1521" w:rsidP="00DC7119">
      <w:pPr>
        <w:spacing w:after="0" w:line="240" w:lineRule="auto"/>
      </w:pPr>
      <w:r>
        <w:separator/>
      </w:r>
    </w:p>
  </w:endnote>
  <w:endnote w:type="continuationSeparator" w:id="0">
    <w:p w14:paraId="0D0F5159" w14:textId="77777777" w:rsidR="000E1521" w:rsidRDefault="000E1521" w:rsidP="00DC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F1CB" w14:textId="6C22F65E" w:rsidR="00CF5C94" w:rsidRDefault="00CF5C94" w:rsidP="00CF5C94">
    <w:pPr>
      <w:pStyle w:val="Footer"/>
    </w:pPr>
    <w:r>
      <w:tab/>
      <w:t xml:space="preserve">Best Practice </w:t>
    </w:r>
    <w:r>
      <w:tab/>
    </w:r>
    <w:sdt>
      <w:sdtPr>
        <w:id w:val="9734177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D2EA9B4" w14:textId="25E86FE9" w:rsidR="00CF5C94" w:rsidRPr="00CF5C94" w:rsidRDefault="00CF5C94" w:rsidP="00CF5C9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2C2E" w14:textId="77777777" w:rsidR="00AC4D99" w:rsidRPr="0047007F" w:rsidRDefault="005238CB" w:rsidP="00AC4D99">
    <w:pPr>
      <w:pStyle w:val="Footer"/>
      <w:framePr w:wrap="around" w:vAnchor="text" w:hAnchor="margin" w:xAlign="right" w:y="1"/>
      <w:rPr>
        <w:rStyle w:val="PageNumber"/>
      </w:rPr>
    </w:pPr>
    <w:r w:rsidRPr="0047007F">
      <w:rPr>
        <w:rStyle w:val="PageNumber"/>
      </w:rPr>
      <w:fldChar w:fldCharType="begin"/>
    </w:r>
    <w:r w:rsidRPr="0047007F">
      <w:rPr>
        <w:rStyle w:val="PageNumber"/>
      </w:rPr>
      <w:instrText xml:space="preserve">PAGE  </w:instrText>
    </w:r>
    <w:r w:rsidRPr="0047007F">
      <w:rPr>
        <w:rStyle w:val="PageNumber"/>
      </w:rPr>
      <w:fldChar w:fldCharType="separate"/>
    </w:r>
    <w:r w:rsidR="007C3E39">
      <w:rPr>
        <w:rStyle w:val="PageNumber"/>
        <w:noProof/>
      </w:rPr>
      <w:t>5</w:t>
    </w:r>
    <w:r w:rsidRPr="0047007F">
      <w:rPr>
        <w:rStyle w:val="PageNumber"/>
      </w:rPr>
      <w:fldChar w:fldCharType="end"/>
    </w:r>
  </w:p>
  <w:p w14:paraId="1F75B71B" w14:textId="77777777" w:rsidR="00AC4D99" w:rsidRPr="0047007F" w:rsidRDefault="005238CB" w:rsidP="00AC4D99">
    <w:pPr>
      <w:pStyle w:val="Footer"/>
    </w:pPr>
    <w:r w:rsidRPr="0047007F">
      <w:rPr>
        <w:noProof/>
      </w:rPr>
      <w:drawing>
        <wp:anchor distT="0" distB="0" distL="114300" distR="114300" simplePos="0" relativeHeight="251659264" behindDoc="0" locked="0" layoutInCell="1" allowOverlap="1" wp14:anchorId="0CB20AAF" wp14:editId="2550A1EF">
          <wp:simplePos x="0" y="0"/>
          <wp:positionH relativeFrom="column">
            <wp:posOffset>0</wp:posOffset>
          </wp:positionH>
          <wp:positionV relativeFrom="paragraph">
            <wp:posOffset>-119380</wp:posOffset>
          </wp:positionV>
          <wp:extent cx="800100" cy="387985"/>
          <wp:effectExtent l="0" t="0" r="12700" b="0"/>
          <wp:wrapTight wrapText="bothSides">
            <wp:wrapPolygon edited="0">
              <wp:start x="0" y="0"/>
              <wp:lineTo x="0" y="19797"/>
              <wp:lineTo x="21257" y="19797"/>
              <wp:lineTo x="2125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DarkBlue+n4aGreen_NoTag.png"/>
                  <pic:cNvPicPr/>
                </pic:nvPicPr>
                <pic:blipFill>
                  <a:blip r:embed="rId1" r:link="rId2">
                    <a:extLst>
                      <a:ext uri="{28A0092B-C50C-407E-A947-70E740481C1C}">
                        <a14:useLocalDpi xmlns:a14="http://schemas.microsoft.com/office/drawing/2010/main" val="0"/>
                      </a:ext>
                    </a:extLst>
                  </a:blip>
                  <a:stretch>
                    <a:fillRect/>
                  </a:stretch>
                </pic:blipFill>
                <pic:spPr>
                  <a:xfrm>
                    <a:off x="0" y="0"/>
                    <a:ext cx="800100" cy="3879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Pr="0047007F">
      <w:ptab w:relativeTo="margin" w:alignment="center" w:leader="none"/>
    </w:r>
    <w:r>
      <w:t>Best Practice</w:t>
    </w:r>
    <w:r w:rsidRPr="0047007F">
      <w:ptab w:relativeTo="margin" w:alignment="right" w:leader="none"/>
    </w:r>
  </w:p>
  <w:p w14:paraId="01FE4AD9" w14:textId="77777777" w:rsidR="00AC4D99" w:rsidRDefault="00AC4D99">
    <w:pPr>
      <w:pStyle w:val="Footer"/>
    </w:pPr>
  </w:p>
  <w:p w14:paraId="138A179D" w14:textId="77777777" w:rsidR="00AC4D99" w:rsidRDefault="00AC4D99">
    <w:pPr>
      <w:pStyle w:val="Footer"/>
    </w:pPr>
  </w:p>
  <w:p w14:paraId="33B89F08" w14:textId="77777777" w:rsidR="00AC4D99" w:rsidRDefault="00AC4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0AAF" w14:textId="77777777" w:rsidR="000E1521" w:rsidRDefault="000E1521" w:rsidP="00DC7119">
      <w:pPr>
        <w:spacing w:after="0" w:line="240" w:lineRule="auto"/>
      </w:pPr>
      <w:r>
        <w:separator/>
      </w:r>
    </w:p>
  </w:footnote>
  <w:footnote w:type="continuationSeparator" w:id="0">
    <w:p w14:paraId="6733A905" w14:textId="77777777" w:rsidR="000E1521" w:rsidRDefault="000E1521" w:rsidP="00DC7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02C8"/>
    <w:multiLevelType w:val="hybridMultilevel"/>
    <w:tmpl w:val="1402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208854">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21F6A"/>
    <w:multiLevelType w:val="hybridMultilevel"/>
    <w:tmpl w:val="9792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23B34"/>
    <w:multiLevelType w:val="hybridMultilevel"/>
    <w:tmpl w:val="FF22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44CC5"/>
    <w:multiLevelType w:val="hybridMultilevel"/>
    <w:tmpl w:val="AFA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82039"/>
    <w:multiLevelType w:val="hybridMultilevel"/>
    <w:tmpl w:val="DC4E2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4A"/>
    <w:rsid w:val="000067E5"/>
    <w:rsid w:val="00026EF8"/>
    <w:rsid w:val="000345BE"/>
    <w:rsid w:val="00042EA0"/>
    <w:rsid w:val="00046AA4"/>
    <w:rsid w:val="00047CFA"/>
    <w:rsid w:val="00055222"/>
    <w:rsid w:val="000A4C41"/>
    <w:rsid w:val="000B17FF"/>
    <w:rsid w:val="000D0999"/>
    <w:rsid w:val="000D7A32"/>
    <w:rsid w:val="000E1521"/>
    <w:rsid w:val="000F1492"/>
    <w:rsid w:val="000F15B1"/>
    <w:rsid w:val="000F5AE6"/>
    <w:rsid w:val="00105A36"/>
    <w:rsid w:val="00112985"/>
    <w:rsid w:val="00127E69"/>
    <w:rsid w:val="001723C0"/>
    <w:rsid w:val="001942F9"/>
    <w:rsid w:val="00194ABB"/>
    <w:rsid w:val="001A400D"/>
    <w:rsid w:val="001B555B"/>
    <w:rsid w:val="00202501"/>
    <w:rsid w:val="0020632B"/>
    <w:rsid w:val="002078F9"/>
    <w:rsid w:val="00261352"/>
    <w:rsid w:val="00267B16"/>
    <w:rsid w:val="0029278C"/>
    <w:rsid w:val="00292827"/>
    <w:rsid w:val="002B56C7"/>
    <w:rsid w:val="002C50C4"/>
    <w:rsid w:val="002C7557"/>
    <w:rsid w:val="002D0CFA"/>
    <w:rsid w:val="002D4A32"/>
    <w:rsid w:val="002E4945"/>
    <w:rsid w:val="00326843"/>
    <w:rsid w:val="00342B45"/>
    <w:rsid w:val="003446E3"/>
    <w:rsid w:val="00352A01"/>
    <w:rsid w:val="00377EDF"/>
    <w:rsid w:val="003932F9"/>
    <w:rsid w:val="003B5F8C"/>
    <w:rsid w:val="003B66F3"/>
    <w:rsid w:val="003D33F3"/>
    <w:rsid w:val="003E6F91"/>
    <w:rsid w:val="00416F7E"/>
    <w:rsid w:val="00417850"/>
    <w:rsid w:val="0043712D"/>
    <w:rsid w:val="00437E74"/>
    <w:rsid w:val="00442A6E"/>
    <w:rsid w:val="00444CA3"/>
    <w:rsid w:val="00445709"/>
    <w:rsid w:val="00446823"/>
    <w:rsid w:val="00472D54"/>
    <w:rsid w:val="004747C9"/>
    <w:rsid w:val="004A1A99"/>
    <w:rsid w:val="004B0B84"/>
    <w:rsid w:val="004B6D0E"/>
    <w:rsid w:val="004C7C3A"/>
    <w:rsid w:val="004E5BC2"/>
    <w:rsid w:val="004F7D4F"/>
    <w:rsid w:val="00506880"/>
    <w:rsid w:val="005113B9"/>
    <w:rsid w:val="00513253"/>
    <w:rsid w:val="005203B3"/>
    <w:rsid w:val="005228B7"/>
    <w:rsid w:val="005238CB"/>
    <w:rsid w:val="005335AE"/>
    <w:rsid w:val="005625E8"/>
    <w:rsid w:val="0057189A"/>
    <w:rsid w:val="00580F34"/>
    <w:rsid w:val="00596AF3"/>
    <w:rsid w:val="005A3711"/>
    <w:rsid w:val="005A3D34"/>
    <w:rsid w:val="005A4080"/>
    <w:rsid w:val="005B5681"/>
    <w:rsid w:val="005C21EA"/>
    <w:rsid w:val="005D51DE"/>
    <w:rsid w:val="00610DED"/>
    <w:rsid w:val="00613739"/>
    <w:rsid w:val="0062607A"/>
    <w:rsid w:val="0064004A"/>
    <w:rsid w:val="00675059"/>
    <w:rsid w:val="006B5EF8"/>
    <w:rsid w:val="006C1FB6"/>
    <w:rsid w:val="006C4A74"/>
    <w:rsid w:val="006D0009"/>
    <w:rsid w:val="006E73AE"/>
    <w:rsid w:val="006F1D7F"/>
    <w:rsid w:val="00705127"/>
    <w:rsid w:val="0072287F"/>
    <w:rsid w:val="007340EA"/>
    <w:rsid w:val="007423D0"/>
    <w:rsid w:val="007569BC"/>
    <w:rsid w:val="007628B5"/>
    <w:rsid w:val="00771E4F"/>
    <w:rsid w:val="00777676"/>
    <w:rsid w:val="0078270C"/>
    <w:rsid w:val="0079559D"/>
    <w:rsid w:val="007A1934"/>
    <w:rsid w:val="007A2FFA"/>
    <w:rsid w:val="007A61E3"/>
    <w:rsid w:val="007B06BD"/>
    <w:rsid w:val="007B65C3"/>
    <w:rsid w:val="007C3E39"/>
    <w:rsid w:val="007D1BB1"/>
    <w:rsid w:val="007E4A32"/>
    <w:rsid w:val="007F12BC"/>
    <w:rsid w:val="007F7D13"/>
    <w:rsid w:val="008173F5"/>
    <w:rsid w:val="00824DB9"/>
    <w:rsid w:val="00826890"/>
    <w:rsid w:val="0084082A"/>
    <w:rsid w:val="00845887"/>
    <w:rsid w:val="0085637C"/>
    <w:rsid w:val="00861D1B"/>
    <w:rsid w:val="008659D8"/>
    <w:rsid w:val="008A6D00"/>
    <w:rsid w:val="008F4C28"/>
    <w:rsid w:val="00907D19"/>
    <w:rsid w:val="00933A12"/>
    <w:rsid w:val="009503A9"/>
    <w:rsid w:val="009531E4"/>
    <w:rsid w:val="00984D48"/>
    <w:rsid w:val="00987E4B"/>
    <w:rsid w:val="009A0B7F"/>
    <w:rsid w:val="009C7F39"/>
    <w:rsid w:val="009E2290"/>
    <w:rsid w:val="009F0C94"/>
    <w:rsid w:val="00A03606"/>
    <w:rsid w:val="00A24472"/>
    <w:rsid w:val="00A30D0A"/>
    <w:rsid w:val="00A40DBB"/>
    <w:rsid w:val="00A42CD9"/>
    <w:rsid w:val="00A53E56"/>
    <w:rsid w:val="00A61AB7"/>
    <w:rsid w:val="00A66D87"/>
    <w:rsid w:val="00A841B1"/>
    <w:rsid w:val="00A95289"/>
    <w:rsid w:val="00A95C31"/>
    <w:rsid w:val="00AA6019"/>
    <w:rsid w:val="00AC1D9D"/>
    <w:rsid w:val="00AC37C2"/>
    <w:rsid w:val="00AC4D99"/>
    <w:rsid w:val="00AD0A2E"/>
    <w:rsid w:val="00AE3ED9"/>
    <w:rsid w:val="00AF1344"/>
    <w:rsid w:val="00AF14DD"/>
    <w:rsid w:val="00AF52B5"/>
    <w:rsid w:val="00AF691A"/>
    <w:rsid w:val="00B124E0"/>
    <w:rsid w:val="00B1331D"/>
    <w:rsid w:val="00B445A3"/>
    <w:rsid w:val="00B61A36"/>
    <w:rsid w:val="00B648F0"/>
    <w:rsid w:val="00B66D67"/>
    <w:rsid w:val="00B704DE"/>
    <w:rsid w:val="00B70B82"/>
    <w:rsid w:val="00B728F0"/>
    <w:rsid w:val="00B83683"/>
    <w:rsid w:val="00BB4BFB"/>
    <w:rsid w:val="00BB6070"/>
    <w:rsid w:val="00BB7E87"/>
    <w:rsid w:val="00BC174E"/>
    <w:rsid w:val="00BC5782"/>
    <w:rsid w:val="00BE71B0"/>
    <w:rsid w:val="00C2188E"/>
    <w:rsid w:val="00C22DC0"/>
    <w:rsid w:val="00C24ADD"/>
    <w:rsid w:val="00C26FF9"/>
    <w:rsid w:val="00C31332"/>
    <w:rsid w:val="00C52E40"/>
    <w:rsid w:val="00C813E9"/>
    <w:rsid w:val="00CB62F6"/>
    <w:rsid w:val="00CD4F1F"/>
    <w:rsid w:val="00CE74B1"/>
    <w:rsid w:val="00CF1C38"/>
    <w:rsid w:val="00CF5C94"/>
    <w:rsid w:val="00D10B8A"/>
    <w:rsid w:val="00D1232D"/>
    <w:rsid w:val="00D1593C"/>
    <w:rsid w:val="00D30293"/>
    <w:rsid w:val="00D32067"/>
    <w:rsid w:val="00D44A2D"/>
    <w:rsid w:val="00D5585B"/>
    <w:rsid w:val="00D7762B"/>
    <w:rsid w:val="00DB3510"/>
    <w:rsid w:val="00DB453B"/>
    <w:rsid w:val="00DC7119"/>
    <w:rsid w:val="00DD3167"/>
    <w:rsid w:val="00DD645A"/>
    <w:rsid w:val="00DE1E63"/>
    <w:rsid w:val="00DE589C"/>
    <w:rsid w:val="00DF37C5"/>
    <w:rsid w:val="00E06F0F"/>
    <w:rsid w:val="00E242A0"/>
    <w:rsid w:val="00E30F26"/>
    <w:rsid w:val="00E655C8"/>
    <w:rsid w:val="00E87281"/>
    <w:rsid w:val="00EA2EBF"/>
    <w:rsid w:val="00EA53F7"/>
    <w:rsid w:val="00EB390C"/>
    <w:rsid w:val="00EC006E"/>
    <w:rsid w:val="00EF22D7"/>
    <w:rsid w:val="00F041E8"/>
    <w:rsid w:val="00F15397"/>
    <w:rsid w:val="00F22A22"/>
    <w:rsid w:val="00F318E0"/>
    <w:rsid w:val="00F33045"/>
    <w:rsid w:val="00F47F61"/>
    <w:rsid w:val="00F51887"/>
    <w:rsid w:val="00F654BD"/>
    <w:rsid w:val="00F70A29"/>
    <w:rsid w:val="00F760E4"/>
    <w:rsid w:val="00F85CAE"/>
    <w:rsid w:val="00F90911"/>
    <w:rsid w:val="00F94664"/>
    <w:rsid w:val="00FA4148"/>
    <w:rsid w:val="00FA6DAB"/>
    <w:rsid w:val="00FB273A"/>
    <w:rsid w:val="00FB5CAF"/>
    <w:rsid w:val="00FD50DE"/>
    <w:rsid w:val="00FD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D6A08"/>
  <w15:docId w15:val="{2F416DCA-7ACB-4353-B210-309188BB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4A"/>
    <w:pPr>
      <w:ind w:left="720"/>
      <w:contextualSpacing/>
    </w:pPr>
  </w:style>
  <w:style w:type="character" w:styleId="CommentReference">
    <w:name w:val="annotation reference"/>
    <w:basedOn w:val="DefaultParagraphFont"/>
    <w:uiPriority w:val="99"/>
    <w:semiHidden/>
    <w:unhideWhenUsed/>
    <w:rsid w:val="0064004A"/>
    <w:rPr>
      <w:sz w:val="16"/>
      <w:szCs w:val="16"/>
    </w:rPr>
  </w:style>
  <w:style w:type="paragraph" w:styleId="CommentText">
    <w:name w:val="annotation text"/>
    <w:basedOn w:val="Normal"/>
    <w:link w:val="CommentTextChar"/>
    <w:uiPriority w:val="99"/>
    <w:semiHidden/>
    <w:unhideWhenUsed/>
    <w:rsid w:val="0064004A"/>
    <w:pPr>
      <w:spacing w:line="240" w:lineRule="auto"/>
    </w:pPr>
    <w:rPr>
      <w:sz w:val="20"/>
      <w:szCs w:val="20"/>
    </w:rPr>
  </w:style>
  <w:style w:type="character" w:customStyle="1" w:styleId="CommentTextChar">
    <w:name w:val="Comment Text Char"/>
    <w:basedOn w:val="DefaultParagraphFont"/>
    <w:link w:val="CommentText"/>
    <w:uiPriority w:val="99"/>
    <w:semiHidden/>
    <w:rsid w:val="0064004A"/>
    <w:rPr>
      <w:sz w:val="20"/>
      <w:szCs w:val="20"/>
    </w:rPr>
  </w:style>
  <w:style w:type="character" w:styleId="Hyperlink">
    <w:name w:val="Hyperlink"/>
    <w:basedOn w:val="DefaultParagraphFont"/>
    <w:uiPriority w:val="99"/>
    <w:unhideWhenUsed/>
    <w:rsid w:val="0064004A"/>
    <w:rPr>
      <w:color w:val="0000FF"/>
      <w:u w:val="single"/>
    </w:rPr>
  </w:style>
  <w:style w:type="paragraph" w:styleId="Footer">
    <w:name w:val="footer"/>
    <w:basedOn w:val="Normal"/>
    <w:link w:val="FooterChar"/>
    <w:uiPriority w:val="99"/>
    <w:unhideWhenUsed/>
    <w:rsid w:val="0064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4A"/>
  </w:style>
  <w:style w:type="character" w:styleId="PageNumber">
    <w:name w:val="page number"/>
    <w:basedOn w:val="DefaultParagraphFont"/>
    <w:uiPriority w:val="99"/>
    <w:semiHidden/>
    <w:unhideWhenUsed/>
    <w:rsid w:val="0064004A"/>
  </w:style>
  <w:style w:type="paragraph" w:styleId="BalloonText">
    <w:name w:val="Balloon Text"/>
    <w:basedOn w:val="Normal"/>
    <w:link w:val="BalloonTextChar"/>
    <w:uiPriority w:val="99"/>
    <w:semiHidden/>
    <w:unhideWhenUsed/>
    <w:rsid w:val="0064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4A"/>
    <w:rPr>
      <w:rFonts w:ascii="Tahoma" w:hAnsi="Tahoma" w:cs="Tahoma"/>
      <w:sz w:val="16"/>
      <w:szCs w:val="16"/>
    </w:rPr>
  </w:style>
  <w:style w:type="paragraph" w:styleId="Header">
    <w:name w:val="header"/>
    <w:basedOn w:val="Normal"/>
    <w:link w:val="HeaderChar"/>
    <w:uiPriority w:val="99"/>
    <w:unhideWhenUsed/>
    <w:rsid w:val="00640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04A"/>
  </w:style>
  <w:style w:type="paragraph" w:styleId="FootnoteText">
    <w:name w:val="footnote text"/>
    <w:basedOn w:val="Normal"/>
    <w:link w:val="FootnoteTextChar"/>
    <w:uiPriority w:val="99"/>
    <w:semiHidden/>
    <w:unhideWhenUsed/>
    <w:rsid w:val="00DC7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119"/>
    <w:rPr>
      <w:sz w:val="20"/>
      <w:szCs w:val="20"/>
    </w:rPr>
  </w:style>
  <w:style w:type="character" w:styleId="FootnoteReference">
    <w:name w:val="footnote reference"/>
    <w:basedOn w:val="DefaultParagraphFont"/>
    <w:uiPriority w:val="99"/>
    <w:semiHidden/>
    <w:unhideWhenUsed/>
    <w:rsid w:val="00DC7119"/>
    <w:rPr>
      <w:vertAlign w:val="superscript"/>
    </w:rPr>
  </w:style>
  <w:style w:type="character" w:styleId="Strong">
    <w:name w:val="Strong"/>
    <w:basedOn w:val="DefaultParagraphFont"/>
    <w:uiPriority w:val="22"/>
    <w:qFormat/>
    <w:rsid w:val="00987E4B"/>
    <w:rPr>
      <w:b/>
      <w:bCs/>
    </w:rPr>
  </w:style>
  <w:style w:type="character" w:customStyle="1" w:styleId="style21">
    <w:name w:val="style21"/>
    <w:basedOn w:val="DefaultParagraphFont"/>
    <w:rsid w:val="00987E4B"/>
  </w:style>
  <w:style w:type="paragraph" w:styleId="NormalWeb">
    <w:name w:val="Normal (Web)"/>
    <w:basedOn w:val="Normal"/>
    <w:uiPriority w:val="99"/>
    <w:semiHidden/>
    <w:unhideWhenUsed/>
    <w:rsid w:val="002B56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6D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6AF3"/>
    <w:rPr>
      <w:b/>
      <w:bCs/>
    </w:rPr>
  </w:style>
  <w:style w:type="character" w:customStyle="1" w:styleId="CommentSubjectChar">
    <w:name w:val="Comment Subject Char"/>
    <w:basedOn w:val="CommentTextChar"/>
    <w:link w:val="CommentSubject"/>
    <w:uiPriority w:val="99"/>
    <w:semiHidden/>
    <w:rsid w:val="00596AF3"/>
    <w:rPr>
      <w:b/>
      <w:bCs/>
      <w:sz w:val="20"/>
      <w:szCs w:val="20"/>
    </w:rPr>
  </w:style>
  <w:style w:type="character" w:styleId="FollowedHyperlink">
    <w:name w:val="FollowedHyperlink"/>
    <w:basedOn w:val="DefaultParagraphFont"/>
    <w:uiPriority w:val="99"/>
    <w:semiHidden/>
    <w:unhideWhenUsed/>
    <w:rsid w:val="00907D19"/>
    <w:rPr>
      <w:color w:val="800080" w:themeColor="followedHyperlink"/>
      <w:u w:val="single"/>
    </w:rPr>
  </w:style>
  <w:style w:type="character" w:customStyle="1" w:styleId="apple-converted-space">
    <w:name w:val="apple-converted-space"/>
    <w:basedOn w:val="DefaultParagraphFont"/>
    <w:rsid w:val="009C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67765">
      <w:bodyDiv w:val="1"/>
      <w:marLeft w:val="0"/>
      <w:marRight w:val="0"/>
      <w:marTop w:val="0"/>
      <w:marBottom w:val="0"/>
      <w:divBdr>
        <w:top w:val="none" w:sz="0" w:space="0" w:color="auto"/>
        <w:left w:val="none" w:sz="0" w:space="0" w:color="auto"/>
        <w:bottom w:val="none" w:sz="0" w:space="0" w:color="auto"/>
        <w:right w:val="none" w:sz="0" w:space="0" w:color="auto"/>
      </w:divBdr>
    </w:div>
    <w:div w:id="1063675068">
      <w:bodyDiv w:val="1"/>
      <w:marLeft w:val="0"/>
      <w:marRight w:val="0"/>
      <w:marTop w:val="0"/>
      <w:marBottom w:val="0"/>
      <w:divBdr>
        <w:top w:val="none" w:sz="0" w:space="0" w:color="auto"/>
        <w:left w:val="none" w:sz="0" w:space="0" w:color="auto"/>
        <w:bottom w:val="none" w:sz="0" w:space="0" w:color="auto"/>
        <w:right w:val="none" w:sz="0" w:space="0" w:color="auto"/>
      </w:divBdr>
    </w:div>
    <w:div w:id="1835223378">
      <w:bodyDiv w:val="1"/>
      <w:marLeft w:val="0"/>
      <w:marRight w:val="0"/>
      <w:marTop w:val="0"/>
      <w:marBottom w:val="0"/>
      <w:divBdr>
        <w:top w:val="none" w:sz="0" w:space="0" w:color="auto"/>
        <w:left w:val="none" w:sz="0" w:space="0" w:color="auto"/>
        <w:bottom w:val="none" w:sz="0" w:space="0" w:color="auto"/>
        <w:right w:val="none" w:sz="0" w:space="0" w:color="auto"/>
      </w:divBdr>
      <w:divsChild>
        <w:div w:id="1624580163">
          <w:marLeft w:val="0"/>
          <w:marRight w:val="0"/>
          <w:marTop w:val="0"/>
          <w:marBottom w:val="0"/>
          <w:divBdr>
            <w:top w:val="none" w:sz="0" w:space="0" w:color="auto"/>
            <w:left w:val="none" w:sz="0" w:space="0" w:color="auto"/>
            <w:bottom w:val="none" w:sz="0" w:space="0" w:color="auto"/>
            <w:right w:val="none" w:sz="0" w:space="0" w:color="auto"/>
          </w:divBdr>
          <w:divsChild>
            <w:div w:id="273825575">
              <w:marLeft w:val="0"/>
              <w:marRight w:val="0"/>
              <w:marTop w:val="0"/>
              <w:marBottom w:val="0"/>
              <w:divBdr>
                <w:top w:val="none" w:sz="0" w:space="0" w:color="auto"/>
                <w:left w:val="none" w:sz="0" w:space="0" w:color="auto"/>
                <w:bottom w:val="none" w:sz="0" w:space="0" w:color="auto"/>
                <w:right w:val="none" w:sz="0" w:space="0" w:color="auto"/>
              </w:divBdr>
              <w:divsChild>
                <w:div w:id="990867578">
                  <w:marLeft w:val="0"/>
                  <w:marRight w:val="0"/>
                  <w:marTop w:val="0"/>
                  <w:marBottom w:val="0"/>
                  <w:divBdr>
                    <w:top w:val="none" w:sz="0" w:space="0" w:color="auto"/>
                    <w:left w:val="none" w:sz="0" w:space="0" w:color="auto"/>
                    <w:bottom w:val="none" w:sz="0" w:space="0" w:color="auto"/>
                    <w:right w:val="none" w:sz="0" w:space="0" w:color="auto"/>
                  </w:divBdr>
                  <w:divsChild>
                    <w:div w:id="225141922">
                      <w:marLeft w:val="300"/>
                      <w:marRight w:val="300"/>
                      <w:marTop w:val="300"/>
                      <w:marBottom w:val="300"/>
                      <w:divBdr>
                        <w:top w:val="none" w:sz="0" w:space="0" w:color="auto"/>
                        <w:left w:val="none" w:sz="0" w:space="0" w:color="auto"/>
                        <w:bottom w:val="none" w:sz="0" w:space="0" w:color="auto"/>
                        <w:right w:val="none" w:sz="0" w:space="0" w:color="auto"/>
                      </w:divBdr>
                      <w:divsChild>
                        <w:div w:id="1115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1107">
          <w:marLeft w:val="0"/>
          <w:marRight w:val="0"/>
          <w:marTop w:val="0"/>
          <w:marBottom w:val="0"/>
          <w:divBdr>
            <w:top w:val="none" w:sz="0" w:space="0" w:color="auto"/>
            <w:left w:val="none" w:sz="0" w:space="0" w:color="auto"/>
            <w:bottom w:val="none" w:sz="0" w:space="0" w:color="auto"/>
            <w:right w:val="none" w:sz="0" w:space="0" w:color="auto"/>
          </w:divBdr>
          <w:divsChild>
            <w:div w:id="1791776346">
              <w:marLeft w:val="0"/>
              <w:marRight w:val="0"/>
              <w:marTop w:val="0"/>
              <w:marBottom w:val="0"/>
              <w:divBdr>
                <w:top w:val="none" w:sz="0" w:space="0" w:color="auto"/>
                <w:left w:val="none" w:sz="0" w:space="0" w:color="auto"/>
                <w:bottom w:val="none" w:sz="0" w:space="0" w:color="auto"/>
                <w:right w:val="none" w:sz="0" w:space="0" w:color="auto"/>
              </w:divBdr>
              <w:divsChild>
                <w:div w:id="1097755842">
                  <w:marLeft w:val="0"/>
                  <w:marRight w:val="0"/>
                  <w:marTop w:val="0"/>
                  <w:marBottom w:val="0"/>
                  <w:divBdr>
                    <w:top w:val="none" w:sz="0" w:space="0" w:color="auto"/>
                    <w:left w:val="none" w:sz="0" w:space="0" w:color="auto"/>
                    <w:bottom w:val="none" w:sz="0" w:space="0" w:color="auto"/>
                    <w:right w:val="none" w:sz="0" w:space="0" w:color="auto"/>
                  </w:divBdr>
                  <w:divsChild>
                    <w:div w:id="1636527307">
                      <w:marLeft w:val="300"/>
                      <w:marRight w:val="300"/>
                      <w:marTop w:val="300"/>
                      <w:marBottom w:val="300"/>
                      <w:divBdr>
                        <w:top w:val="none" w:sz="0" w:space="0" w:color="auto"/>
                        <w:left w:val="none" w:sz="0" w:space="0" w:color="auto"/>
                        <w:bottom w:val="none" w:sz="0" w:space="0" w:color="auto"/>
                        <w:right w:val="none" w:sz="0" w:space="0" w:color="auto"/>
                      </w:divBdr>
                      <w:divsChild>
                        <w:div w:id="1232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7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ountca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shaver@blountcaa.org" TargetMode="External"/><Relationship Id="rId17" Type="http://schemas.openxmlformats.org/officeDocument/2006/relationships/hyperlink" Target="http://www.nadtc.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untcaa.org/programs/" TargetMode="External"/><Relationship Id="rId5" Type="http://schemas.openxmlformats.org/officeDocument/2006/relationships/webSettings" Target="webSettings.xml"/><Relationship Id="rId15" Type="http://schemas.openxmlformats.org/officeDocument/2006/relationships/hyperlink" Target="http://www.n4a.org" TargetMode="External"/><Relationship Id="rId10" Type="http://schemas.openxmlformats.org/officeDocument/2006/relationships/image" Target="media/image2.jp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file://localhost/Volumes/Amy%201TB%20Drive/Takoma%20Design/Clients/Easter%20Seals/NADTC%20brand/NADTC%20templates/info%20brief/NADTC_InfoBrief_Banner_NoLogos.jpg"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file://localhost/Volumes/Amy%201TB%20Drive/Takoma%20Design/Clients/Easter%20Seals/NADTC%20brand/powerpoint/ES_DarkBlue+n4aGreen_NoTag.pn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C1DD-371D-45ED-B1AD-EBF41343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1036</Words>
  <Characters>6126</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Miller</dc:creator>
  <cp:keywords/>
  <dc:description/>
  <cp:lastModifiedBy>Rachel Beyerle</cp:lastModifiedBy>
  <cp:revision>10</cp:revision>
  <cp:lastPrinted>2019-04-02T15:55:00Z</cp:lastPrinted>
  <dcterms:created xsi:type="dcterms:W3CDTF">2019-04-09T14:17:00Z</dcterms:created>
  <dcterms:modified xsi:type="dcterms:W3CDTF">2019-04-09T18:47:00Z</dcterms:modified>
</cp:coreProperties>
</file>